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644"/>
        <w:gridCol w:w="5387"/>
      </w:tblGrid>
      <w:tr w:rsidR="006911DD" w:rsidRPr="00150869" w:rsidTr="00CB7ACD">
        <w:trPr>
          <w:trHeight w:val="2535"/>
        </w:trPr>
        <w:tc>
          <w:tcPr>
            <w:tcW w:w="4644" w:type="dxa"/>
          </w:tcPr>
          <w:p w:rsidR="006911DD" w:rsidRPr="006A6072" w:rsidRDefault="006911DD" w:rsidP="00247836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799A" w:rsidRPr="00150869" w:rsidRDefault="006911DD" w:rsidP="009A17FA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150869">
              <w:rPr>
                <w:sz w:val="24"/>
                <w:szCs w:val="24"/>
              </w:rPr>
              <w:t xml:space="preserve">Приложение </w:t>
            </w:r>
            <w:r w:rsidR="00E01483">
              <w:rPr>
                <w:sz w:val="24"/>
                <w:szCs w:val="24"/>
              </w:rPr>
              <w:t>№ __</w:t>
            </w:r>
          </w:p>
          <w:p w:rsidR="006911DD" w:rsidRPr="00150869" w:rsidRDefault="006911DD" w:rsidP="009A17FA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150869">
              <w:rPr>
                <w:sz w:val="24"/>
                <w:szCs w:val="24"/>
              </w:rPr>
              <w:t xml:space="preserve">к протоколу заседания </w:t>
            </w:r>
            <w:proofErr w:type="gramStart"/>
            <w:r w:rsidRPr="00150869">
              <w:rPr>
                <w:sz w:val="24"/>
                <w:szCs w:val="24"/>
              </w:rPr>
              <w:t>Правления НО</w:t>
            </w:r>
            <w:proofErr w:type="gramEnd"/>
            <w:r w:rsidRPr="00150869">
              <w:rPr>
                <w:sz w:val="24"/>
                <w:szCs w:val="24"/>
              </w:rPr>
              <w:t xml:space="preserve"> «ФППОО»</w:t>
            </w:r>
          </w:p>
          <w:p w:rsidR="006911DD" w:rsidRPr="00150869" w:rsidRDefault="00BD1E4B" w:rsidP="009A17FA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150869">
              <w:rPr>
                <w:sz w:val="24"/>
                <w:szCs w:val="24"/>
              </w:rPr>
              <w:t xml:space="preserve">от </w:t>
            </w:r>
            <w:r w:rsidR="00727B50">
              <w:rPr>
                <w:sz w:val="24"/>
                <w:szCs w:val="24"/>
              </w:rPr>
              <w:t>27</w:t>
            </w:r>
            <w:bookmarkStart w:id="0" w:name="_GoBack"/>
            <w:bookmarkEnd w:id="0"/>
            <w:r w:rsidR="00982EC0" w:rsidRPr="00150869">
              <w:rPr>
                <w:sz w:val="24"/>
                <w:szCs w:val="24"/>
              </w:rPr>
              <w:t xml:space="preserve"> декабря</w:t>
            </w:r>
            <w:r w:rsidR="006911DD" w:rsidRPr="00150869">
              <w:rPr>
                <w:sz w:val="24"/>
                <w:szCs w:val="24"/>
              </w:rPr>
              <w:t xml:space="preserve"> 20</w:t>
            </w:r>
            <w:r w:rsidR="00C466D7" w:rsidRPr="00150869">
              <w:rPr>
                <w:sz w:val="24"/>
                <w:szCs w:val="24"/>
              </w:rPr>
              <w:t>2</w:t>
            </w:r>
            <w:r w:rsidR="00982EC0" w:rsidRPr="00150869">
              <w:rPr>
                <w:sz w:val="24"/>
                <w:szCs w:val="24"/>
              </w:rPr>
              <w:t>4</w:t>
            </w:r>
            <w:r w:rsidR="006911DD" w:rsidRPr="00150869">
              <w:rPr>
                <w:sz w:val="24"/>
                <w:szCs w:val="24"/>
              </w:rPr>
              <w:t xml:space="preserve"> г. № </w:t>
            </w:r>
            <w:r w:rsidR="00727B50">
              <w:rPr>
                <w:sz w:val="24"/>
                <w:szCs w:val="24"/>
              </w:rPr>
              <w:t>29</w:t>
            </w:r>
          </w:p>
          <w:p w:rsidR="00A97F73" w:rsidRPr="00150869" w:rsidRDefault="00A97F73" w:rsidP="009A17FA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</w:p>
          <w:p w:rsidR="006911DD" w:rsidRPr="00150869" w:rsidRDefault="006911DD" w:rsidP="009A17FA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150869">
              <w:rPr>
                <w:sz w:val="24"/>
                <w:szCs w:val="24"/>
              </w:rPr>
              <w:t>УТВЕРЖД</w:t>
            </w:r>
            <w:r w:rsidR="002B6692" w:rsidRPr="00150869">
              <w:rPr>
                <w:sz w:val="24"/>
                <w:szCs w:val="24"/>
              </w:rPr>
              <w:t>АЮ</w:t>
            </w:r>
          </w:p>
          <w:p w:rsidR="006911DD" w:rsidRPr="00150869" w:rsidRDefault="006911DD" w:rsidP="009A17FA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150869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150869">
              <w:rPr>
                <w:sz w:val="24"/>
                <w:szCs w:val="24"/>
              </w:rPr>
              <w:t>Правления НО</w:t>
            </w:r>
            <w:proofErr w:type="gramEnd"/>
            <w:r w:rsidRPr="00150869">
              <w:rPr>
                <w:sz w:val="24"/>
                <w:szCs w:val="24"/>
              </w:rPr>
              <w:t xml:space="preserve"> «ФППОО»</w:t>
            </w:r>
          </w:p>
          <w:p w:rsidR="006911DD" w:rsidRPr="00150869" w:rsidRDefault="006911DD" w:rsidP="009A17FA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</w:p>
          <w:p w:rsidR="006911DD" w:rsidRPr="00150869" w:rsidRDefault="00EF58D3" w:rsidP="00EF58D3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9">
              <w:rPr>
                <w:rFonts w:ascii="Times New Roman" w:hAnsi="Times New Roman"/>
                <w:sz w:val="24"/>
                <w:szCs w:val="24"/>
              </w:rPr>
              <w:t>____________________ С.</w:t>
            </w:r>
            <w:r w:rsidR="00CB7ACD" w:rsidRPr="00150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047" w:rsidRPr="00150869">
              <w:rPr>
                <w:rFonts w:ascii="Times New Roman" w:hAnsi="Times New Roman"/>
                <w:sz w:val="24"/>
                <w:szCs w:val="24"/>
              </w:rPr>
              <w:t>Ю</w:t>
            </w:r>
            <w:r w:rsidR="006911DD" w:rsidRPr="001508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67047" w:rsidRPr="00150869">
              <w:rPr>
                <w:rFonts w:ascii="Times New Roman" w:hAnsi="Times New Roman"/>
                <w:sz w:val="24"/>
                <w:szCs w:val="24"/>
              </w:rPr>
              <w:t>Антонцев</w:t>
            </w:r>
            <w:proofErr w:type="spellEnd"/>
          </w:p>
        </w:tc>
      </w:tr>
    </w:tbl>
    <w:p w:rsidR="006911DD" w:rsidRPr="00150869" w:rsidRDefault="006911DD" w:rsidP="00F17B4A">
      <w:pPr>
        <w:pStyle w:val="1"/>
        <w:shd w:val="clear" w:color="auto" w:fill="auto"/>
        <w:spacing w:after="0" w:line="298" w:lineRule="exact"/>
        <w:ind w:left="2520"/>
        <w:rPr>
          <w:sz w:val="24"/>
          <w:szCs w:val="24"/>
        </w:rPr>
      </w:pPr>
    </w:p>
    <w:p w:rsidR="006911DD" w:rsidRPr="00150869" w:rsidRDefault="006911DD" w:rsidP="00F17B4A">
      <w:pPr>
        <w:pStyle w:val="1"/>
        <w:shd w:val="clear" w:color="auto" w:fill="auto"/>
        <w:spacing w:after="0" w:line="298" w:lineRule="exact"/>
        <w:ind w:left="2520"/>
        <w:rPr>
          <w:sz w:val="24"/>
          <w:szCs w:val="24"/>
        </w:rPr>
      </w:pPr>
    </w:p>
    <w:p w:rsidR="006911DD" w:rsidRPr="00150869" w:rsidRDefault="006911DD" w:rsidP="00F17B4A">
      <w:pPr>
        <w:pStyle w:val="1"/>
        <w:shd w:val="clear" w:color="auto" w:fill="auto"/>
        <w:spacing w:after="0" w:line="298" w:lineRule="exact"/>
        <w:ind w:left="2520"/>
        <w:rPr>
          <w:sz w:val="24"/>
          <w:szCs w:val="24"/>
        </w:rPr>
      </w:pPr>
    </w:p>
    <w:p w:rsidR="006911DD" w:rsidRPr="008F03BA" w:rsidRDefault="006911DD" w:rsidP="008F03BA">
      <w:pPr>
        <w:autoSpaceDN w:val="0"/>
        <w:adjustRightInd w:val="0"/>
        <w:jc w:val="center"/>
        <w:rPr>
          <w:b/>
          <w:sz w:val="24"/>
          <w:szCs w:val="24"/>
        </w:rPr>
      </w:pPr>
      <w:bookmarkStart w:id="1" w:name="общего"/>
      <w:bookmarkEnd w:id="1"/>
      <w:r w:rsidRPr="00150869">
        <w:rPr>
          <w:b/>
          <w:sz w:val="24"/>
          <w:szCs w:val="24"/>
        </w:rPr>
        <w:t>ПО</w:t>
      </w:r>
      <w:r w:rsidR="004C33A8" w:rsidRPr="00150869">
        <w:rPr>
          <w:b/>
          <w:sz w:val="24"/>
          <w:szCs w:val="24"/>
        </w:rPr>
        <w:t>ЛИТИКА</w:t>
      </w:r>
      <w:r w:rsidRPr="008F03BA">
        <w:rPr>
          <w:b/>
          <w:sz w:val="24"/>
          <w:szCs w:val="24"/>
        </w:rPr>
        <w:t xml:space="preserve"> </w:t>
      </w:r>
    </w:p>
    <w:p w:rsidR="006911DD" w:rsidRPr="008F03BA" w:rsidRDefault="004C33A8" w:rsidP="008F03BA">
      <w:pPr>
        <w:autoSpaceDN w:val="0"/>
        <w:adjustRightInd w:val="0"/>
        <w:jc w:val="center"/>
        <w:rPr>
          <w:b/>
          <w:sz w:val="24"/>
          <w:szCs w:val="24"/>
        </w:rPr>
      </w:pPr>
      <w:r w:rsidRPr="008F03BA">
        <w:rPr>
          <w:b/>
          <w:sz w:val="24"/>
          <w:szCs w:val="24"/>
        </w:rPr>
        <w:t>управления рисками</w:t>
      </w:r>
      <w:r w:rsidR="006911DD" w:rsidRPr="008F03BA">
        <w:rPr>
          <w:b/>
          <w:sz w:val="24"/>
          <w:szCs w:val="24"/>
        </w:rPr>
        <w:t xml:space="preserve"> некоммерческой организации </w:t>
      </w:r>
    </w:p>
    <w:p w:rsidR="006911DD" w:rsidRPr="005C799A" w:rsidRDefault="006911DD" w:rsidP="008F03BA">
      <w:pPr>
        <w:autoSpaceDN w:val="0"/>
        <w:adjustRightInd w:val="0"/>
        <w:jc w:val="center"/>
        <w:rPr>
          <w:b/>
          <w:sz w:val="24"/>
          <w:szCs w:val="24"/>
        </w:rPr>
      </w:pPr>
      <w:r w:rsidRPr="008F03BA">
        <w:rPr>
          <w:b/>
          <w:sz w:val="24"/>
          <w:szCs w:val="24"/>
        </w:rPr>
        <w:t xml:space="preserve">«Фонд поддержки </w:t>
      </w:r>
      <w:r w:rsidRPr="005C799A">
        <w:rPr>
          <w:b/>
          <w:sz w:val="24"/>
          <w:szCs w:val="24"/>
        </w:rPr>
        <w:t xml:space="preserve">предпринимательства Орловской области» </w:t>
      </w:r>
    </w:p>
    <w:p w:rsidR="0081718A" w:rsidRDefault="0081718A" w:rsidP="008F03BA">
      <w:pPr>
        <w:autoSpaceDN w:val="0"/>
        <w:adjustRightInd w:val="0"/>
        <w:jc w:val="center"/>
        <w:rPr>
          <w:b/>
          <w:sz w:val="24"/>
          <w:szCs w:val="24"/>
        </w:rPr>
      </w:pPr>
      <w:r w:rsidRPr="005C799A">
        <w:rPr>
          <w:b/>
          <w:sz w:val="24"/>
          <w:szCs w:val="24"/>
        </w:rPr>
        <w:t>(новая редакция)</w:t>
      </w:r>
    </w:p>
    <w:p w:rsidR="008F03BA" w:rsidRDefault="008F03BA" w:rsidP="008F03BA">
      <w:pPr>
        <w:autoSpaceDN w:val="0"/>
        <w:adjustRightInd w:val="0"/>
        <w:jc w:val="center"/>
        <w:rPr>
          <w:b/>
          <w:sz w:val="24"/>
          <w:szCs w:val="24"/>
        </w:rPr>
      </w:pPr>
    </w:p>
    <w:p w:rsidR="006911DD" w:rsidRPr="00403162" w:rsidRDefault="006911DD" w:rsidP="00403162">
      <w:pPr>
        <w:pStyle w:val="a4"/>
        <w:numPr>
          <w:ilvl w:val="0"/>
          <w:numId w:val="1"/>
        </w:numPr>
        <w:ind w:left="0" w:right="-29" w:firstLine="0"/>
        <w:jc w:val="center"/>
        <w:rPr>
          <w:b/>
          <w:bCs/>
          <w:sz w:val="24"/>
          <w:szCs w:val="24"/>
        </w:rPr>
      </w:pPr>
      <w:r w:rsidRPr="00403162">
        <w:rPr>
          <w:b/>
          <w:bCs/>
          <w:sz w:val="24"/>
          <w:szCs w:val="24"/>
        </w:rPr>
        <w:t>Общие положения</w:t>
      </w:r>
    </w:p>
    <w:p w:rsidR="00403162" w:rsidRPr="008D6006" w:rsidRDefault="006911DD" w:rsidP="007D7831">
      <w:pPr>
        <w:pStyle w:val="af"/>
        <w:ind w:left="0" w:right="-29" w:firstLine="567"/>
        <w:jc w:val="both"/>
        <w:rPr>
          <w:rFonts w:ascii="Times New Roman" w:hAnsi="Times New Roman" w:cs="Times New Roman"/>
          <w:b/>
          <w:bCs/>
        </w:rPr>
      </w:pPr>
      <w:r w:rsidRPr="00403162">
        <w:rPr>
          <w:rFonts w:ascii="Times New Roman" w:hAnsi="Times New Roman" w:cs="Times New Roman"/>
          <w:bCs/>
        </w:rPr>
        <w:t xml:space="preserve">1.1. </w:t>
      </w:r>
      <w:r w:rsidR="0002739B" w:rsidRPr="00403162">
        <w:rPr>
          <w:rFonts w:ascii="Times New Roman" w:hAnsi="Times New Roman" w:cs="Times New Roman"/>
          <w:bCs/>
        </w:rPr>
        <w:t>Настоящая</w:t>
      </w:r>
      <w:r w:rsidRPr="00403162">
        <w:rPr>
          <w:rFonts w:ascii="Times New Roman" w:hAnsi="Times New Roman" w:cs="Times New Roman"/>
          <w:bCs/>
        </w:rPr>
        <w:t xml:space="preserve"> </w:t>
      </w:r>
      <w:r w:rsidRPr="008D6006">
        <w:rPr>
          <w:rFonts w:ascii="Times New Roman" w:hAnsi="Times New Roman" w:cs="Times New Roman"/>
          <w:bCs/>
        </w:rPr>
        <w:t>По</w:t>
      </w:r>
      <w:r w:rsidR="0002739B" w:rsidRPr="008D6006">
        <w:rPr>
          <w:rFonts w:ascii="Times New Roman" w:hAnsi="Times New Roman" w:cs="Times New Roman"/>
          <w:bCs/>
        </w:rPr>
        <w:t xml:space="preserve">литика управлениями рисками </w:t>
      </w:r>
      <w:r w:rsidRPr="008D6006">
        <w:rPr>
          <w:rFonts w:ascii="Times New Roman" w:hAnsi="Times New Roman" w:cs="Times New Roman"/>
          <w:bCs/>
        </w:rPr>
        <w:t>некоммерческой организации «Фонд поддержки предпринимательства Орловской области» (далее – Порядок) разработан</w:t>
      </w:r>
      <w:r w:rsidR="00E644A8">
        <w:rPr>
          <w:rFonts w:ascii="Times New Roman" w:hAnsi="Times New Roman" w:cs="Times New Roman"/>
          <w:bCs/>
        </w:rPr>
        <w:t>а</w:t>
      </w:r>
      <w:r w:rsidRPr="008D6006">
        <w:rPr>
          <w:rFonts w:ascii="Times New Roman" w:hAnsi="Times New Roman" w:cs="Times New Roman"/>
          <w:bCs/>
        </w:rPr>
        <w:t xml:space="preserve"> в соответствии с </w:t>
      </w:r>
      <w:r w:rsidR="005D3567" w:rsidRPr="008D6006">
        <w:rPr>
          <w:rFonts w:ascii="Times New Roman" w:hAnsi="Times New Roman" w:cs="Times New Roman"/>
          <w:bCs/>
        </w:rPr>
        <w:t xml:space="preserve">приказом Министерства экономического развития Российской Федерации № 763 </w:t>
      </w:r>
      <w:r w:rsidR="00A718CD">
        <w:rPr>
          <w:rFonts w:ascii="Times New Roman" w:hAnsi="Times New Roman" w:cs="Times New Roman"/>
          <w:bCs/>
        </w:rPr>
        <w:br/>
      </w:r>
      <w:r w:rsidR="005D3567" w:rsidRPr="008D6006">
        <w:rPr>
          <w:rFonts w:ascii="Times New Roman" w:hAnsi="Times New Roman" w:cs="Times New Roman"/>
          <w:bCs/>
        </w:rPr>
        <w:t>от 28.11.2016 г. «Об утверждении требований к фондам содействия кредитованию (гарантийным фондам, фондам поручительств) и их деятельности»,</w:t>
      </w:r>
      <w:r w:rsidRPr="008D6006">
        <w:rPr>
          <w:rFonts w:ascii="Times New Roman" w:hAnsi="Times New Roman" w:cs="Times New Roman"/>
          <w:bCs/>
        </w:rPr>
        <w:t xml:space="preserve"> уставом некоммерческой организации «Фонд поддержки предпринимательства Орловской области» и </w:t>
      </w:r>
      <w:r w:rsidR="0002739B" w:rsidRPr="008D6006">
        <w:rPr>
          <w:rFonts w:ascii="Times New Roman" w:hAnsi="Times New Roman" w:cs="Times New Roman"/>
          <w:bCs/>
        </w:rPr>
        <w:t>регулирует</w:t>
      </w:r>
      <w:r w:rsidRPr="008D6006">
        <w:rPr>
          <w:rFonts w:ascii="Times New Roman" w:hAnsi="Times New Roman" w:cs="Times New Roman"/>
          <w:bCs/>
        </w:rPr>
        <w:t xml:space="preserve"> порядок расчета</w:t>
      </w:r>
      <w:r w:rsidR="008D6BBE" w:rsidRPr="008D6006">
        <w:rPr>
          <w:rFonts w:ascii="Times New Roman" w:hAnsi="Times New Roman" w:cs="Times New Roman"/>
          <w:bCs/>
        </w:rPr>
        <w:t>,</w:t>
      </w:r>
      <w:r w:rsidRPr="008D6006">
        <w:rPr>
          <w:rFonts w:ascii="Times New Roman" w:hAnsi="Times New Roman" w:cs="Times New Roman"/>
          <w:bCs/>
        </w:rPr>
        <w:t xml:space="preserve"> перерасчета</w:t>
      </w:r>
      <w:r w:rsidR="008D6BBE" w:rsidRPr="008D6006">
        <w:rPr>
          <w:rFonts w:ascii="Times New Roman" w:hAnsi="Times New Roman" w:cs="Times New Roman"/>
          <w:bCs/>
        </w:rPr>
        <w:t xml:space="preserve"> и распределение</w:t>
      </w:r>
      <w:r w:rsidRPr="008D6006">
        <w:rPr>
          <w:rFonts w:ascii="Times New Roman" w:hAnsi="Times New Roman" w:cs="Times New Roman"/>
          <w:bCs/>
        </w:rPr>
        <w:t xml:space="preserve"> общего</w:t>
      </w:r>
      <w:r w:rsidR="00D34842" w:rsidRPr="008D6006">
        <w:rPr>
          <w:rFonts w:ascii="Times New Roman" w:hAnsi="Times New Roman" w:cs="Times New Roman"/>
          <w:bCs/>
        </w:rPr>
        <w:t xml:space="preserve"> операционного</w:t>
      </w:r>
      <w:r w:rsidRPr="008D6006">
        <w:rPr>
          <w:rFonts w:ascii="Times New Roman" w:hAnsi="Times New Roman" w:cs="Times New Roman"/>
          <w:bCs/>
        </w:rPr>
        <w:t xml:space="preserve"> лимита </w:t>
      </w:r>
      <w:r w:rsidR="00D34842" w:rsidRPr="008D6006">
        <w:rPr>
          <w:rFonts w:ascii="Times New Roman" w:hAnsi="Times New Roman" w:cs="Times New Roman"/>
          <w:bCs/>
        </w:rPr>
        <w:t>условных обязательств</w:t>
      </w:r>
      <w:r w:rsidRPr="008D6006">
        <w:rPr>
          <w:rFonts w:ascii="Times New Roman" w:hAnsi="Times New Roman" w:cs="Times New Roman"/>
          <w:bCs/>
        </w:rPr>
        <w:t xml:space="preserve"> </w:t>
      </w:r>
      <w:r w:rsidR="00A718CD" w:rsidRPr="00A718CD">
        <w:rPr>
          <w:rFonts w:ascii="Times New Roman" w:hAnsi="Times New Roman" w:cs="Times New Roman"/>
          <w:bCs/>
        </w:rPr>
        <w:t>Региональной гарантийной организации</w:t>
      </w:r>
      <w:r w:rsidRPr="008D6006">
        <w:rPr>
          <w:rFonts w:ascii="Times New Roman" w:hAnsi="Times New Roman" w:cs="Times New Roman"/>
          <w:bCs/>
        </w:rPr>
        <w:t>, порядок расчета</w:t>
      </w:r>
      <w:r w:rsidR="008D6BBE" w:rsidRPr="008D6006">
        <w:rPr>
          <w:rFonts w:ascii="Times New Roman" w:hAnsi="Times New Roman" w:cs="Times New Roman"/>
          <w:bCs/>
        </w:rPr>
        <w:t xml:space="preserve"> и изменения</w:t>
      </w:r>
      <w:r w:rsidR="003B680C" w:rsidRPr="008D6006">
        <w:rPr>
          <w:rFonts w:ascii="Times New Roman" w:hAnsi="Times New Roman" w:cs="Times New Roman"/>
          <w:bCs/>
        </w:rPr>
        <w:t xml:space="preserve"> </w:t>
      </w:r>
      <w:r w:rsidR="00D34842" w:rsidRPr="008D6006">
        <w:rPr>
          <w:rFonts w:ascii="Times New Roman" w:hAnsi="Times New Roman" w:cs="Times New Roman"/>
          <w:bCs/>
        </w:rPr>
        <w:t xml:space="preserve">операционного лимита на вновь принятые  условные обязательства </w:t>
      </w:r>
      <w:r w:rsidR="00A718CD" w:rsidRPr="00A718CD">
        <w:rPr>
          <w:rFonts w:ascii="Times New Roman" w:hAnsi="Times New Roman" w:cs="Times New Roman"/>
          <w:bCs/>
        </w:rPr>
        <w:t>Региональной гарантийной организации</w:t>
      </w:r>
      <w:r w:rsidR="00D34842" w:rsidRPr="00A718CD">
        <w:rPr>
          <w:rFonts w:ascii="Times New Roman" w:hAnsi="Times New Roman" w:cs="Times New Roman"/>
          <w:bCs/>
        </w:rPr>
        <w:t xml:space="preserve"> </w:t>
      </w:r>
      <w:r w:rsidR="003B680C" w:rsidRPr="00A718CD">
        <w:rPr>
          <w:rFonts w:ascii="Times New Roman" w:hAnsi="Times New Roman" w:cs="Times New Roman"/>
          <w:bCs/>
        </w:rPr>
        <w:t xml:space="preserve">и лимита </w:t>
      </w:r>
      <w:r w:rsidR="00D34842" w:rsidRPr="00A718CD">
        <w:rPr>
          <w:rFonts w:ascii="Times New Roman" w:hAnsi="Times New Roman" w:cs="Times New Roman"/>
          <w:bCs/>
        </w:rPr>
        <w:t>условных обязательств</w:t>
      </w:r>
      <w:r w:rsidRPr="00A718CD">
        <w:rPr>
          <w:rFonts w:ascii="Times New Roman" w:hAnsi="Times New Roman" w:cs="Times New Roman"/>
          <w:bCs/>
        </w:rPr>
        <w:t xml:space="preserve"> на </w:t>
      </w:r>
      <w:r w:rsidR="008D6BBE" w:rsidRPr="00A718CD">
        <w:rPr>
          <w:rFonts w:ascii="Times New Roman" w:hAnsi="Times New Roman" w:cs="Times New Roman"/>
          <w:bCs/>
        </w:rPr>
        <w:t xml:space="preserve">Партнеров </w:t>
      </w:r>
      <w:r w:rsidR="00A718CD" w:rsidRPr="00A718CD">
        <w:rPr>
          <w:rFonts w:ascii="Times New Roman" w:hAnsi="Times New Roman" w:cs="Times New Roman"/>
          <w:bCs/>
        </w:rPr>
        <w:t>Региональной гарантийной организации</w:t>
      </w:r>
      <w:r w:rsidR="008D6BBE" w:rsidRPr="00A718CD">
        <w:rPr>
          <w:rFonts w:ascii="Times New Roman" w:hAnsi="Times New Roman" w:cs="Times New Roman"/>
          <w:bCs/>
        </w:rPr>
        <w:t xml:space="preserve"> </w:t>
      </w:r>
      <w:r w:rsidR="008D6BBE" w:rsidRPr="008D6006">
        <w:rPr>
          <w:rFonts w:ascii="Times New Roman" w:hAnsi="Times New Roman" w:cs="Times New Roman"/>
          <w:bCs/>
        </w:rPr>
        <w:t>и заемщиков</w:t>
      </w:r>
      <w:r w:rsidR="00403162" w:rsidRPr="008D6006">
        <w:rPr>
          <w:rFonts w:ascii="Times New Roman" w:hAnsi="Times New Roman" w:cs="Times New Roman"/>
          <w:bCs/>
        </w:rPr>
        <w:t>, порядок о</w:t>
      </w:r>
      <w:r w:rsidR="00403162" w:rsidRPr="008D6006">
        <w:rPr>
          <w:rFonts w:ascii="Times New Roman" w:hAnsi="Times New Roman" w:cs="Times New Roman"/>
        </w:rPr>
        <w:t xml:space="preserve">ценки, контроля и замена залогового </w:t>
      </w:r>
      <w:r w:rsidR="00403162" w:rsidRPr="008D6006">
        <w:rPr>
          <w:rFonts w:ascii="Times New Roman" w:hAnsi="Times New Roman" w:cs="Times New Roman"/>
          <w:kern w:val="28"/>
        </w:rPr>
        <w:t>обеспечения финансовых обязательств</w:t>
      </w:r>
      <w:r w:rsidR="00403162" w:rsidRPr="008D6006">
        <w:rPr>
          <w:rFonts w:ascii="Times New Roman" w:hAnsi="Times New Roman" w:cs="Times New Roman"/>
        </w:rPr>
        <w:t xml:space="preserve"> Заемщика.</w:t>
      </w:r>
    </w:p>
    <w:p w:rsidR="006911DD" w:rsidRPr="00403162" w:rsidRDefault="006911DD" w:rsidP="00403162">
      <w:pPr>
        <w:pStyle w:val="a6"/>
        <w:spacing w:after="0"/>
        <w:ind w:right="-29" w:firstLine="567"/>
        <w:jc w:val="both"/>
        <w:rPr>
          <w:bCs/>
        </w:rPr>
      </w:pPr>
      <w:r w:rsidRPr="008D6006">
        <w:rPr>
          <w:bCs/>
        </w:rPr>
        <w:t xml:space="preserve">1.2. В настоящем Порядке </w:t>
      </w:r>
      <w:r w:rsidRPr="00403162">
        <w:rPr>
          <w:bCs/>
        </w:rPr>
        <w:t>используются следующие понятия:</w:t>
      </w:r>
    </w:p>
    <w:p w:rsidR="006911DD" w:rsidRPr="00403162" w:rsidRDefault="00891B11" w:rsidP="00403162">
      <w:pPr>
        <w:pStyle w:val="a6"/>
        <w:spacing w:after="0"/>
        <w:ind w:right="-29" w:firstLine="567"/>
        <w:jc w:val="both"/>
        <w:rPr>
          <w:b/>
          <w:bCs/>
        </w:rPr>
      </w:pPr>
      <w:r>
        <w:rPr>
          <w:b/>
          <w:bCs/>
        </w:rPr>
        <w:t>Региональная гарантийная организация (далее РГО</w:t>
      </w:r>
      <w:r w:rsidR="00C32C1E">
        <w:rPr>
          <w:b/>
          <w:bCs/>
        </w:rPr>
        <w:t>)</w:t>
      </w:r>
      <w:r w:rsidR="006911DD" w:rsidRPr="00403162">
        <w:rPr>
          <w:b/>
          <w:bCs/>
        </w:rPr>
        <w:t xml:space="preserve"> - </w:t>
      </w:r>
      <w:r w:rsidR="006911DD" w:rsidRPr="00403162">
        <w:rPr>
          <w:bCs/>
        </w:rPr>
        <w:t>некоммерческая организация «Фонд поддержки предпринимательства Орловской области»;</w:t>
      </w:r>
      <w:r w:rsidR="006911DD" w:rsidRPr="00403162">
        <w:rPr>
          <w:b/>
          <w:bCs/>
        </w:rPr>
        <w:t xml:space="preserve"> </w:t>
      </w:r>
    </w:p>
    <w:p w:rsidR="006911DD" w:rsidRPr="00403162" w:rsidRDefault="006911DD" w:rsidP="00403162">
      <w:pPr>
        <w:pStyle w:val="a6"/>
        <w:spacing w:after="0"/>
        <w:ind w:right="-29" w:firstLine="567"/>
        <w:jc w:val="both"/>
      </w:pPr>
      <w:r w:rsidRPr="00403162">
        <w:rPr>
          <w:b/>
          <w:bCs/>
        </w:rPr>
        <w:t xml:space="preserve">Гарантийный </w:t>
      </w:r>
      <w:r w:rsidR="0002739B" w:rsidRPr="00403162">
        <w:rPr>
          <w:b/>
          <w:bCs/>
        </w:rPr>
        <w:t>капитал</w:t>
      </w:r>
      <w:r w:rsidRPr="00403162">
        <w:t xml:space="preserve"> - сумма активов </w:t>
      </w:r>
      <w:r w:rsidR="00C32C1E">
        <w:t>РГО</w:t>
      </w:r>
      <w:r w:rsidRPr="00403162">
        <w:t xml:space="preserve"> предназначенных для обеспечения исполнения обязательств </w:t>
      </w:r>
      <w:r w:rsidR="00A718CD">
        <w:t>РГО</w:t>
      </w:r>
      <w:r w:rsidRPr="00403162">
        <w:t xml:space="preserve"> по предоставлению поручительств;</w:t>
      </w:r>
    </w:p>
    <w:p w:rsidR="006911DD" w:rsidRPr="00403162" w:rsidRDefault="006911DD" w:rsidP="00403162">
      <w:pPr>
        <w:pStyle w:val="a6"/>
        <w:spacing w:after="0"/>
        <w:ind w:right="-29" w:firstLine="567"/>
        <w:jc w:val="both"/>
      </w:pPr>
      <w:r w:rsidRPr="00403162">
        <w:rPr>
          <w:b/>
          <w:bCs/>
        </w:rPr>
        <w:t xml:space="preserve">Правление </w:t>
      </w:r>
      <w:r w:rsidR="00C32C1E">
        <w:rPr>
          <w:b/>
          <w:bCs/>
        </w:rPr>
        <w:t>РГО</w:t>
      </w:r>
      <w:r w:rsidRPr="00403162">
        <w:t xml:space="preserve"> - высший орган управления </w:t>
      </w:r>
      <w:r w:rsidR="00300AE6">
        <w:t>РГО</w:t>
      </w:r>
      <w:r w:rsidRPr="00403162">
        <w:t xml:space="preserve">, осуществляющий полномочия, предусмотренные Уставом </w:t>
      </w:r>
      <w:r w:rsidR="00C32C1E">
        <w:t>РГО</w:t>
      </w:r>
      <w:r w:rsidRPr="00403162">
        <w:t>;</w:t>
      </w:r>
    </w:p>
    <w:p w:rsidR="00C321B0" w:rsidRPr="00990A3C" w:rsidRDefault="006911DD" w:rsidP="009F5C9D">
      <w:pPr>
        <w:pStyle w:val="a6"/>
        <w:spacing w:after="0"/>
        <w:ind w:right="-29" w:firstLine="567"/>
        <w:jc w:val="both"/>
      </w:pPr>
      <w:r w:rsidRPr="00403162">
        <w:rPr>
          <w:b/>
          <w:bCs/>
        </w:rPr>
        <w:t xml:space="preserve">Партнер </w:t>
      </w:r>
      <w:r w:rsidR="00C32C1E">
        <w:rPr>
          <w:b/>
          <w:bCs/>
        </w:rPr>
        <w:t>РГО</w:t>
      </w:r>
      <w:r w:rsidR="009F5C9D">
        <w:rPr>
          <w:b/>
          <w:bCs/>
        </w:rPr>
        <w:t>,</w:t>
      </w:r>
      <w:r w:rsidR="00D576E7">
        <w:rPr>
          <w:b/>
          <w:bCs/>
        </w:rPr>
        <w:t xml:space="preserve"> Партнер</w:t>
      </w:r>
      <w:r w:rsidRPr="00403162">
        <w:t xml:space="preserve"> </w:t>
      </w:r>
      <w:r w:rsidR="009F5C9D">
        <w:t>или</w:t>
      </w:r>
      <w:r w:rsidR="00D34842" w:rsidRPr="008F03BA">
        <w:rPr>
          <w:b/>
        </w:rPr>
        <w:t xml:space="preserve"> </w:t>
      </w:r>
      <w:r w:rsidR="00C321B0" w:rsidRPr="002C4502">
        <w:rPr>
          <w:b/>
        </w:rPr>
        <w:t>Финансовая организация</w:t>
      </w:r>
      <w:r w:rsidR="00096ECB">
        <w:t xml:space="preserve"> </w:t>
      </w:r>
      <w:r w:rsidR="00096ECB" w:rsidRPr="00096ECB">
        <w:t xml:space="preserve">- банк, микрофинансовая организация (некоммерческая организация микрокредитная компания «Фонд микрофинансирования Орловской области»), лизинговая компания и т.д., участвующая в программе </w:t>
      </w:r>
      <w:r w:rsidR="00300AE6">
        <w:t>РГО</w:t>
      </w:r>
      <w:r w:rsidR="00096ECB" w:rsidRPr="00096ECB">
        <w:t xml:space="preserve"> и заключившая с </w:t>
      </w:r>
      <w:r w:rsidR="00A718CD">
        <w:t>РГО</w:t>
      </w:r>
      <w:r w:rsidR="00096ECB" w:rsidRPr="00096ECB">
        <w:t xml:space="preserve"> соглашение о </w:t>
      </w:r>
      <w:r w:rsidR="00096ECB" w:rsidRPr="00990A3C">
        <w:t>порядке сотрудничества по программе предоставления поручительств.</w:t>
      </w:r>
    </w:p>
    <w:p w:rsidR="006911DD" w:rsidRPr="00990A3C" w:rsidRDefault="006911DD" w:rsidP="00C937A4">
      <w:pPr>
        <w:pStyle w:val="a6"/>
        <w:spacing w:after="0"/>
        <w:ind w:right="-29" w:firstLine="567"/>
        <w:jc w:val="both"/>
      </w:pPr>
      <w:r w:rsidRPr="00990A3C">
        <w:rPr>
          <w:b/>
        </w:rPr>
        <w:t>За</w:t>
      </w:r>
      <w:r w:rsidR="00AA613C" w:rsidRPr="00990A3C">
        <w:rPr>
          <w:b/>
        </w:rPr>
        <w:t>емщик</w:t>
      </w:r>
      <w:r w:rsidRPr="00990A3C">
        <w:t xml:space="preserve"> - субъект малого и среднего предпринимательства,</w:t>
      </w:r>
      <w:r w:rsidR="00C23A06" w:rsidRPr="00990A3C">
        <w:t xml:space="preserve"> </w:t>
      </w:r>
      <w:bookmarkStart w:id="2" w:name="_Hlk53586268"/>
      <w:r w:rsidR="00C23A06" w:rsidRPr="00990A3C">
        <w:t>а также физическое лицо, применяющее специальный налоговый режим «Налог на профессиональный доход»</w:t>
      </w:r>
      <w:bookmarkEnd w:id="2"/>
      <w:r w:rsidR="00C23A06" w:rsidRPr="00990A3C">
        <w:t>,</w:t>
      </w:r>
      <w:r w:rsidRPr="00990A3C">
        <w:t xml:space="preserve"> чьи документы приняты </w:t>
      </w:r>
      <w:r w:rsidR="00C32C1E">
        <w:t>РГО</w:t>
      </w:r>
      <w:r w:rsidRPr="00990A3C">
        <w:t xml:space="preserve"> к рассмотрению для предоставления поручительства </w:t>
      </w:r>
      <w:r w:rsidR="005E0B8F" w:rsidRPr="00990A3C">
        <w:t>по его обязательствам;</w:t>
      </w:r>
    </w:p>
    <w:p w:rsidR="005E0B8F" w:rsidRPr="00990A3C" w:rsidRDefault="00A2773A" w:rsidP="00A2773A">
      <w:pPr>
        <w:tabs>
          <w:tab w:val="left" w:pos="851"/>
          <w:tab w:val="left" w:pos="1276"/>
        </w:tabs>
        <w:jc w:val="both"/>
        <w:rPr>
          <w:sz w:val="24"/>
          <w:szCs w:val="24"/>
        </w:rPr>
      </w:pPr>
      <w:r w:rsidRPr="00990A3C">
        <w:rPr>
          <w:b/>
          <w:sz w:val="24"/>
          <w:szCs w:val="24"/>
        </w:rPr>
        <w:t xml:space="preserve">          </w:t>
      </w:r>
      <w:r w:rsidR="00525749" w:rsidRPr="00990A3C">
        <w:rPr>
          <w:b/>
          <w:sz w:val="24"/>
          <w:szCs w:val="24"/>
        </w:rPr>
        <w:t>Договор</w:t>
      </w:r>
      <w:r w:rsidR="005E0B8F" w:rsidRPr="00990A3C">
        <w:rPr>
          <w:sz w:val="24"/>
          <w:szCs w:val="24"/>
        </w:rPr>
        <w:t xml:space="preserve"> - кредитный договор, договор кредитной линии, </w:t>
      </w:r>
      <w:r w:rsidR="007A6E4E" w:rsidRPr="00990A3C">
        <w:rPr>
          <w:sz w:val="24"/>
          <w:szCs w:val="24"/>
        </w:rPr>
        <w:t xml:space="preserve">договор займа, </w:t>
      </w:r>
      <w:r w:rsidR="005E0B8F" w:rsidRPr="00990A3C">
        <w:rPr>
          <w:sz w:val="24"/>
          <w:szCs w:val="24"/>
        </w:rPr>
        <w:t>договор банковской гарантии либо договор финансовой аренды (лизинга)</w:t>
      </w:r>
      <w:r w:rsidR="00AD63AC" w:rsidRPr="00990A3C">
        <w:rPr>
          <w:sz w:val="24"/>
          <w:szCs w:val="24"/>
        </w:rPr>
        <w:t>,</w:t>
      </w:r>
      <w:r w:rsidR="005E0B8F" w:rsidRPr="00990A3C">
        <w:rPr>
          <w:sz w:val="24"/>
          <w:szCs w:val="24"/>
        </w:rPr>
        <w:t xml:space="preserve"> заключаемый Заемщиком с Партнером </w:t>
      </w:r>
      <w:r w:rsidR="00C32C1E">
        <w:rPr>
          <w:sz w:val="24"/>
          <w:szCs w:val="24"/>
        </w:rPr>
        <w:t>РГО</w:t>
      </w:r>
      <w:r w:rsidR="00671EBF" w:rsidRPr="00990A3C">
        <w:rPr>
          <w:sz w:val="24"/>
          <w:szCs w:val="24"/>
        </w:rPr>
        <w:t>.</w:t>
      </w:r>
    </w:p>
    <w:p w:rsidR="005E0B8F" w:rsidRPr="00990A3C" w:rsidRDefault="005E0B8F" w:rsidP="00C937A4">
      <w:pPr>
        <w:pStyle w:val="a6"/>
        <w:shd w:val="clear" w:color="auto" w:fill="FFFFFF"/>
        <w:spacing w:after="0"/>
        <w:ind w:firstLine="567"/>
      </w:pPr>
    </w:p>
    <w:p w:rsidR="003A2FE1" w:rsidRPr="00990A3C" w:rsidRDefault="003A2FE1" w:rsidP="00DE4829">
      <w:pPr>
        <w:pStyle w:val="a6"/>
        <w:shd w:val="clear" w:color="auto" w:fill="FFFFFF"/>
        <w:spacing w:after="0"/>
        <w:ind w:firstLine="567"/>
      </w:pPr>
    </w:p>
    <w:p w:rsidR="003A2FE1" w:rsidRPr="00990A3C" w:rsidRDefault="003A2FE1" w:rsidP="00DE4829">
      <w:pPr>
        <w:pStyle w:val="af"/>
        <w:numPr>
          <w:ilvl w:val="0"/>
          <w:numId w:val="1"/>
        </w:numPr>
        <w:tabs>
          <w:tab w:val="left" w:pos="426"/>
          <w:tab w:val="left" w:pos="1418"/>
        </w:tabs>
        <w:jc w:val="center"/>
        <w:rPr>
          <w:rFonts w:ascii="Times New Roman" w:hAnsi="Times New Roman"/>
          <w:b/>
        </w:rPr>
      </w:pPr>
      <w:r w:rsidRPr="00990A3C">
        <w:rPr>
          <w:rFonts w:ascii="Times New Roman" w:hAnsi="Times New Roman"/>
          <w:b/>
        </w:rPr>
        <w:t xml:space="preserve">Порядок определения объема обеспечения </w:t>
      </w:r>
      <w:r w:rsidR="00C32C1E">
        <w:rPr>
          <w:rFonts w:ascii="Times New Roman" w:hAnsi="Times New Roman"/>
          <w:b/>
        </w:rPr>
        <w:t>РГО</w:t>
      </w:r>
      <w:r w:rsidRPr="00990A3C">
        <w:rPr>
          <w:rFonts w:ascii="Times New Roman" w:hAnsi="Times New Roman"/>
          <w:b/>
        </w:rPr>
        <w:t xml:space="preserve"> исполнения субъектами </w:t>
      </w:r>
      <w:r w:rsidR="00C23A06" w:rsidRPr="00990A3C">
        <w:rPr>
          <w:rFonts w:ascii="Times New Roman" w:hAnsi="Times New Roman"/>
          <w:b/>
        </w:rPr>
        <w:t xml:space="preserve">МСП, а также физическими лицами, применяющими специальный налоговый режим «Налог на профессиональный доход» </w:t>
      </w:r>
      <w:r w:rsidR="00463059" w:rsidRPr="00990A3C">
        <w:rPr>
          <w:rFonts w:ascii="Times New Roman" w:hAnsi="Times New Roman"/>
          <w:b/>
        </w:rPr>
        <w:t>обязательств</w:t>
      </w:r>
      <w:r w:rsidR="007757BF" w:rsidRPr="00990A3C">
        <w:rPr>
          <w:rFonts w:ascii="Times New Roman" w:hAnsi="Times New Roman"/>
          <w:b/>
        </w:rPr>
        <w:t>.</w:t>
      </w:r>
    </w:p>
    <w:p w:rsidR="003A2FE1" w:rsidRPr="00990A3C" w:rsidRDefault="003A2FE1" w:rsidP="00DE4829">
      <w:pPr>
        <w:tabs>
          <w:tab w:val="left" w:pos="426"/>
        </w:tabs>
        <w:ind w:firstLine="709"/>
        <w:rPr>
          <w:sz w:val="24"/>
          <w:szCs w:val="24"/>
        </w:rPr>
      </w:pPr>
    </w:p>
    <w:p w:rsidR="003A2FE1" w:rsidRPr="00990A3C" w:rsidRDefault="007757BF" w:rsidP="00DE482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90A3C">
        <w:rPr>
          <w:rFonts w:ascii="Times New Roman" w:hAnsi="Times New Roman" w:cs="Times New Roman"/>
          <w:sz w:val="24"/>
          <w:szCs w:val="24"/>
        </w:rPr>
        <w:t>2</w:t>
      </w:r>
      <w:r w:rsidR="003A2FE1" w:rsidRPr="00990A3C">
        <w:rPr>
          <w:rFonts w:ascii="Times New Roman" w:hAnsi="Times New Roman" w:cs="Times New Roman"/>
          <w:sz w:val="24"/>
          <w:szCs w:val="24"/>
        </w:rPr>
        <w:t xml:space="preserve">.1. </w:t>
      </w:r>
      <w:r w:rsidR="00C32C1E">
        <w:rPr>
          <w:rFonts w:ascii="Times New Roman" w:hAnsi="Times New Roman" w:cs="Times New Roman"/>
          <w:sz w:val="24"/>
          <w:szCs w:val="24"/>
        </w:rPr>
        <w:t>РГО</w:t>
      </w:r>
      <w:r w:rsidR="003A2FE1" w:rsidRPr="00990A3C">
        <w:rPr>
          <w:rFonts w:ascii="Times New Roman" w:hAnsi="Times New Roman" w:cs="Times New Roman"/>
          <w:sz w:val="24"/>
          <w:szCs w:val="24"/>
        </w:rPr>
        <w:t xml:space="preserve"> определяет объем поручительства </w:t>
      </w:r>
      <w:r w:rsidR="003A2FE1" w:rsidRPr="00990A3C">
        <w:rPr>
          <w:rFonts w:ascii="Times New Roman" w:hAnsi="Times New Roman"/>
          <w:sz w:val="24"/>
          <w:szCs w:val="24"/>
        </w:rPr>
        <w:t>по обязательствам конкретного субъекта МСП</w:t>
      </w:r>
      <w:r w:rsidR="00C23A06" w:rsidRPr="00990A3C">
        <w:rPr>
          <w:rFonts w:ascii="Times New Roman" w:hAnsi="Times New Roman"/>
          <w:sz w:val="24"/>
          <w:szCs w:val="24"/>
        </w:rPr>
        <w:t xml:space="preserve">, </w:t>
      </w:r>
      <w:r w:rsidR="00C23A06" w:rsidRPr="00990A3C">
        <w:rPr>
          <w:rFonts w:ascii="Times New Roman" w:hAnsi="Times New Roman"/>
          <w:sz w:val="24"/>
          <w:szCs w:val="24"/>
        </w:rPr>
        <w:lastRenderedPageBreak/>
        <w:t>а также физического лица, применяющего специальный налоговый режим «Налог на профессиональный доход»</w:t>
      </w:r>
      <w:r w:rsidR="003A2FE1" w:rsidRPr="00990A3C">
        <w:rPr>
          <w:rFonts w:ascii="Times New Roman" w:hAnsi="Times New Roman"/>
          <w:sz w:val="24"/>
          <w:szCs w:val="24"/>
        </w:rPr>
        <w:t xml:space="preserve"> </w:t>
      </w:r>
      <w:r w:rsidR="003A2FE1" w:rsidRPr="00990A3C">
        <w:rPr>
          <w:rFonts w:ascii="Times New Roman" w:hAnsi="Times New Roman" w:cs="Times New Roman"/>
          <w:sz w:val="24"/>
          <w:szCs w:val="24"/>
        </w:rPr>
        <w:t>по результатам</w:t>
      </w:r>
      <w:r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3A2FE1" w:rsidRPr="00990A3C">
        <w:rPr>
          <w:rFonts w:ascii="Times New Roman" w:hAnsi="Times New Roman" w:cs="Times New Roman"/>
          <w:sz w:val="24"/>
          <w:szCs w:val="24"/>
        </w:rPr>
        <w:t>рассмотрения</w:t>
      </w:r>
      <w:r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3A2FE1" w:rsidRPr="00990A3C">
        <w:rPr>
          <w:rFonts w:ascii="Times New Roman" w:hAnsi="Times New Roman" w:cs="Times New Roman"/>
          <w:sz w:val="24"/>
          <w:szCs w:val="24"/>
        </w:rPr>
        <w:t>заявки</w:t>
      </w:r>
      <w:r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3A2FE1" w:rsidRPr="00990A3C">
        <w:rPr>
          <w:rFonts w:ascii="Times New Roman" w:hAnsi="Times New Roman" w:cs="Times New Roman"/>
          <w:sz w:val="24"/>
          <w:szCs w:val="24"/>
        </w:rPr>
        <w:t xml:space="preserve">на предоставление поручительства, поступившей в </w:t>
      </w:r>
      <w:r w:rsidR="00C32C1E">
        <w:rPr>
          <w:rFonts w:ascii="Times New Roman" w:hAnsi="Times New Roman" w:cs="Times New Roman"/>
          <w:sz w:val="24"/>
          <w:szCs w:val="24"/>
        </w:rPr>
        <w:t>РГО</w:t>
      </w:r>
      <w:r w:rsidR="003A2FE1"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370BFD" w:rsidRPr="00990A3C">
        <w:rPr>
          <w:rFonts w:ascii="Times New Roman" w:hAnsi="Times New Roman" w:cs="Times New Roman"/>
          <w:sz w:val="24"/>
          <w:szCs w:val="24"/>
        </w:rPr>
        <w:t>от</w:t>
      </w:r>
      <w:r w:rsidR="003A2FE1"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7050AF" w:rsidRPr="00990A3C">
        <w:rPr>
          <w:rFonts w:ascii="Times New Roman" w:hAnsi="Times New Roman" w:cs="Times New Roman"/>
          <w:sz w:val="24"/>
          <w:szCs w:val="24"/>
        </w:rPr>
        <w:t>Партнера</w:t>
      </w:r>
      <w:r w:rsidR="00370BFD"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C32C1E">
        <w:rPr>
          <w:rFonts w:ascii="Times New Roman" w:hAnsi="Times New Roman" w:cs="Times New Roman"/>
          <w:sz w:val="24"/>
          <w:szCs w:val="24"/>
        </w:rPr>
        <w:t>РГО</w:t>
      </w:r>
      <w:r w:rsidR="003A2FE1" w:rsidRPr="00990A3C">
        <w:rPr>
          <w:rFonts w:ascii="Times New Roman" w:hAnsi="Times New Roman" w:cs="Times New Roman"/>
          <w:sz w:val="24"/>
          <w:szCs w:val="24"/>
        </w:rPr>
        <w:t>, а также анализа</w:t>
      </w:r>
      <w:r w:rsidR="00E85C37"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3A2FE1" w:rsidRPr="00990A3C">
        <w:rPr>
          <w:rFonts w:ascii="Times New Roman" w:hAnsi="Times New Roman" w:cs="Times New Roman"/>
          <w:sz w:val="24"/>
          <w:szCs w:val="24"/>
        </w:rPr>
        <w:t>действующих</w:t>
      </w:r>
      <w:r w:rsidR="00E85C37"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3A2FE1" w:rsidRPr="00990A3C">
        <w:rPr>
          <w:rFonts w:ascii="Times New Roman" w:hAnsi="Times New Roman" w:cs="Times New Roman"/>
          <w:sz w:val="24"/>
          <w:szCs w:val="24"/>
        </w:rPr>
        <w:t>в отношении субъекта МСП</w:t>
      </w:r>
      <w:r w:rsidR="00C23A06"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C23A06" w:rsidRPr="00990A3C">
        <w:rPr>
          <w:rFonts w:ascii="Times New Roman" w:hAnsi="Times New Roman"/>
          <w:sz w:val="24"/>
          <w:szCs w:val="24"/>
        </w:rPr>
        <w:t>или физического лица, применяющего специальный налоговый режим «Налог на профессиональный доход»</w:t>
      </w:r>
      <w:r w:rsidR="003A2FE1" w:rsidRPr="00990A3C">
        <w:rPr>
          <w:rFonts w:ascii="Times New Roman" w:hAnsi="Times New Roman" w:cs="Times New Roman"/>
          <w:sz w:val="24"/>
          <w:szCs w:val="24"/>
        </w:rPr>
        <w:t xml:space="preserve"> </w:t>
      </w:r>
      <w:r w:rsidR="003A2FE1" w:rsidRPr="00990A3C">
        <w:rPr>
          <w:rFonts w:ascii="Times New Roman" w:hAnsi="Times New Roman"/>
          <w:sz w:val="24"/>
          <w:szCs w:val="24"/>
        </w:rPr>
        <w:t>поручительств</w:t>
      </w:r>
      <w:r w:rsidR="00C23A06" w:rsidRPr="00990A3C">
        <w:rPr>
          <w:rFonts w:ascii="Times New Roman" w:hAnsi="Times New Roman"/>
          <w:sz w:val="24"/>
          <w:szCs w:val="24"/>
        </w:rPr>
        <w:t xml:space="preserve"> </w:t>
      </w:r>
      <w:r w:rsidR="00463059" w:rsidRPr="00990A3C">
        <w:rPr>
          <w:rFonts w:ascii="Times New Roman" w:hAnsi="Times New Roman"/>
          <w:sz w:val="24"/>
          <w:szCs w:val="24"/>
        </w:rPr>
        <w:t>вы</w:t>
      </w:r>
      <w:r w:rsidR="003A2FE1" w:rsidRPr="00990A3C">
        <w:rPr>
          <w:rFonts w:ascii="Times New Roman" w:hAnsi="Times New Roman"/>
          <w:sz w:val="24"/>
          <w:szCs w:val="24"/>
        </w:rPr>
        <w:t xml:space="preserve">данных </w:t>
      </w:r>
      <w:r w:rsidR="00C32C1E">
        <w:rPr>
          <w:rFonts w:ascii="Times New Roman" w:hAnsi="Times New Roman"/>
          <w:sz w:val="24"/>
          <w:szCs w:val="24"/>
        </w:rPr>
        <w:t>РГО</w:t>
      </w:r>
      <w:r w:rsidR="003A2FE1" w:rsidRPr="00990A3C">
        <w:rPr>
          <w:rFonts w:ascii="Times New Roman" w:hAnsi="Times New Roman"/>
          <w:sz w:val="24"/>
          <w:szCs w:val="24"/>
        </w:rPr>
        <w:t>.</w:t>
      </w:r>
    </w:p>
    <w:p w:rsidR="00500305" w:rsidRPr="00990A3C" w:rsidRDefault="00500305" w:rsidP="00DE482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3C">
        <w:rPr>
          <w:rFonts w:ascii="Times New Roman" w:hAnsi="Times New Roman" w:cs="Times New Roman"/>
          <w:sz w:val="24"/>
          <w:szCs w:val="24"/>
        </w:rPr>
        <w:t xml:space="preserve">2.2. Размер поручительства, предоставляемого </w:t>
      </w:r>
      <w:r w:rsidR="00C32C1E">
        <w:rPr>
          <w:rFonts w:ascii="Times New Roman" w:hAnsi="Times New Roman" w:cs="Times New Roman"/>
          <w:sz w:val="24"/>
          <w:szCs w:val="24"/>
        </w:rPr>
        <w:t>РГО</w:t>
      </w:r>
      <w:r w:rsidRPr="00990A3C">
        <w:rPr>
          <w:rFonts w:ascii="Times New Roman" w:hAnsi="Times New Roman" w:cs="Times New Roman"/>
          <w:sz w:val="24"/>
          <w:szCs w:val="24"/>
        </w:rPr>
        <w:t>, должен быть выражен в российских рублях.</w:t>
      </w:r>
    </w:p>
    <w:p w:rsidR="003A2FE1" w:rsidRPr="00990A3C" w:rsidRDefault="007757BF" w:rsidP="00DE4829">
      <w:pPr>
        <w:pStyle w:val="af"/>
        <w:ind w:left="0" w:firstLine="709"/>
        <w:jc w:val="both"/>
        <w:rPr>
          <w:rFonts w:ascii="Times New Roman" w:hAnsi="Times New Roman"/>
        </w:rPr>
      </w:pPr>
      <w:r w:rsidRPr="00990A3C">
        <w:rPr>
          <w:rFonts w:ascii="Times New Roman" w:hAnsi="Times New Roman"/>
        </w:rPr>
        <w:t>2</w:t>
      </w:r>
      <w:r w:rsidR="003A2FE1" w:rsidRPr="00990A3C">
        <w:rPr>
          <w:rFonts w:ascii="Times New Roman" w:hAnsi="Times New Roman"/>
        </w:rPr>
        <w:t>.</w:t>
      </w:r>
      <w:r w:rsidR="00500305" w:rsidRPr="00990A3C">
        <w:rPr>
          <w:rFonts w:ascii="Times New Roman" w:hAnsi="Times New Roman"/>
        </w:rPr>
        <w:t>3</w:t>
      </w:r>
      <w:r w:rsidR="003A2FE1" w:rsidRPr="00990A3C">
        <w:rPr>
          <w:rFonts w:ascii="Times New Roman" w:hAnsi="Times New Roman"/>
        </w:rPr>
        <w:t>. Для целей настоящ</w:t>
      </w:r>
      <w:r w:rsidRPr="00990A3C">
        <w:rPr>
          <w:rFonts w:ascii="Times New Roman" w:hAnsi="Times New Roman"/>
        </w:rPr>
        <w:t>ей</w:t>
      </w:r>
      <w:r w:rsidR="003A2FE1" w:rsidRPr="00990A3C">
        <w:rPr>
          <w:rFonts w:ascii="Times New Roman" w:hAnsi="Times New Roman"/>
        </w:rPr>
        <w:t xml:space="preserve"> </w:t>
      </w:r>
      <w:r w:rsidRPr="00990A3C">
        <w:rPr>
          <w:rFonts w:ascii="Times New Roman" w:hAnsi="Times New Roman"/>
        </w:rPr>
        <w:t>Политики</w:t>
      </w:r>
      <w:r w:rsidR="003A2FE1" w:rsidRPr="00990A3C">
        <w:rPr>
          <w:rFonts w:ascii="Times New Roman" w:hAnsi="Times New Roman"/>
        </w:rPr>
        <w:t xml:space="preserve"> под обязательствами субъекта МСП</w:t>
      </w:r>
      <w:r w:rsidR="00C23A06" w:rsidRPr="00990A3C">
        <w:rPr>
          <w:rFonts w:ascii="Times New Roman" w:hAnsi="Times New Roman"/>
        </w:rPr>
        <w:t>, а также физического лица, применяющего специальный налоговый режим «Налог на профессиональный доход»</w:t>
      </w:r>
      <w:r w:rsidR="003A2FE1" w:rsidRPr="00990A3C">
        <w:rPr>
          <w:rFonts w:ascii="Times New Roman" w:hAnsi="Times New Roman"/>
        </w:rPr>
        <w:t xml:space="preserve"> перед финансовыми организациями понимается:</w:t>
      </w:r>
    </w:p>
    <w:p w:rsidR="003A2FE1" w:rsidRPr="00DE4829" w:rsidRDefault="003A2FE1" w:rsidP="00DE4829">
      <w:pPr>
        <w:pStyle w:val="af"/>
        <w:ind w:left="0" w:firstLine="709"/>
        <w:jc w:val="both"/>
        <w:rPr>
          <w:rFonts w:ascii="Times New Roman" w:hAnsi="Times New Roman"/>
        </w:rPr>
      </w:pPr>
      <w:r w:rsidRPr="00990A3C">
        <w:rPr>
          <w:rFonts w:ascii="Times New Roman" w:hAnsi="Times New Roman"/>
        </w:rPr>
        <w:t>1) сумма кредита (основной долг по кредитному</w:t>
      </w:r>
      <w:r w:rsidRPr="00DE4829">
        <w:rPr>
          <w:rFonts w:ascii="Times New Roman" w:hAnsi="Times New Roman"/>
        </w:rPr>
        <w:t xml:space="preserve"> договору), сумма займа (основной долг по договору займа);</w:t>
      </w:r>
    </w:p>
    <w:p w:rsidR="003A2FE1" w:rsidRPr="00DE4829" w:rsidRDefault="003A2FE1" w:rsidP="00DE4829">
      <w:pPr>
        <w:pStyle w:val="af"/>
        <w:ind w:left="0" w:firstLine="709"/>
        <w:jc w:val="both"/>
        <w:rPr>
          <w:rFonts w:ascii="Times New Roman" w:hAnsi="Times New Roman"/>
        </w:rPr>
      </w:pPr>
      <w:r w:rsidRPr="00DE4829">
        <w:rPr>
          <w:rFonts w:ascii="Times New Roman" w:hAnsi="Times New Roman"/>
        </w:rPr>
        <w:t>2) сумма лизинговых платежей в части погашения стоимости предмета лизинга по договорам финансовой аренды (лизинга);</w:t>
      </w:r>
    </w:p>
    <w:p w:rsidR="003A2FE1" w:rsidRPr="0047023D" w:rsidRDefault="003A2FE1" w:rsidP="00DE4829">
      <w:pPr>
        <w:pStyle w:val="af"/>
        <w:ind w:left="0" w:firstLine="709"/>
        <w:jc w:val="both"/>
        <w:rPr>
          <w:rFonts w:ascii="Times New Roman" w:hAnsi="Times New Roman"/>
        </w:rPr>
      </w:pPr>
      <w:r w:rsidRPr="00DE4829">
        <w:rPr>
          <w:rFonts w:ascii="Times New Roman" w:hAnsi="Times New Roman"/>
        </w:rPr>
        <w:t>3</w:t>
      </w:r>
      <w:r w:rsidRPr="0047023D">
        <w:rPr>
          <w:rFonts w:ascii="Times New Roman" w:hAnsi="Times New Roman"/>
        </w:rPr>
        <w:t>) денежная сумма, подлежащая выплате гаранту по банковской гарантии.</w:t>
      </w:r>
    </w:p>
    <w:p w:rsidR="00C23A06" w:rsidRPr="0047023D" w:rsidRDefault="007757BF" w:rsidP="008F2AD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3D">
        <w:rPr>
          <w:rFonts w:ascii="Times New Roman" w:hAnsi="Times New Roman" w:cs="Times New Roman"/>
          <w:sz w:val="24"/>
          <w:szCs w:val="24"/>
        </w:rPr>
        <w:t>2</w:t>
      </w:r>
      <w:r w:rsidR="003A2FE1" w:rsidRPr="0047023D">
        <w:rPr>
          <w:rFonts w:ascii="Times New Roman" w:hAnsi="Times New Roman" w:cs="Times New Roman"/>
          <w:sz w:val="24"/>
          <w:szCs w:val="24"/>
        </w:rPr>
        <w:t>.</w:t>
      </w:r>
      <w:r w:rsidR="00500305" w:rsidRPr="0047023D">
        <w:rPr>
          <w:rFonts w:ascii="Times New Roman" w:hAnsi="Times New Roman" w:cs="Times New Roman"/>
          <w:sz w:val="24"/>
          <w:szCs w:val="24"/>
        </w:rPr>
        <w:t>4</w:t>
      </w:r>
      <w:r w:rsidR="003A2FE1" w:rsidRPr="0047023D">
        <w:rPr>
          <w:rFonts w:ascii="Times New Roman" w:hAnsi="Times New Roman" w:cs="Times New Roman"/>
          <w:sz w:val="24"/>
          <w:szCs w:val="24"/>
        </w:rPr>
        <w:t xml:space="preserve">. </w:t>
      </w:r>
      <w:r w:rsidR="008F2AD8" w:rsidRPr="0047023D">
        <w:rPr>
          <w:rFonts w:ascii="Times New Roman" w:hAnsi="Times New Roman" w:cs="Times New Roman"/>
          <w:sz w:val="24"/>
          <w:szCs w:val="24"/>
        </w:rPr>
        <w:t>Максимальный объем единовременно выдаваемого поручительства</w:t>
      </w:r>
      <w:r w:rsidR="00C23A06" w:rsidRPr="0047023D">
        <w:rPr>
          <w:rFonts w:ascii="Times New Roman" w:hAnsi="Times New Roman" w:cs="Times New Roman"/>
          <w:sz w:val="24"/>
          <w:szCs w:val="24"/>
        </w:rPr>
        <w:t>:</w:t>
      </w:r>
    </w:p>
    <w:p w:rsidR="008F2AD8" w:rsidRPr="0047023D" w:rsidRDefault="00C23A06" w:rsidP="008F2AD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4338451"/>
      <w:r w:rsidRPr="0047023D">
        <w:rPr>
          <w:rFonts w:ascii="Times New Roman" w:hAnsi="Times New Roman" w:cs="Times New Roman"/>
          <w:sz w:val="24"/>
          <w:szCs w:val="24"/>
        </w:rPr>
        <w:t xml:space="preserve">- </w:t>
      </w:r>
      <w:r w:rsidR="008F2AD8" w:rsidRPr="0047023D">
        <w:rPr>
          <w:rFonts w:ascii="Times New Roman" w:hAnsi="Times New Roman" w:cs="Times New Roman"/>
          <w:sz w:val="24"/>
          <w:szCs w:val="24"/>
        </w:rPr>
        <w:t xml:space="preserve">в отношении одного </w:t>
      </w:r>
      <w:r w:rsidR="008F2AD8" w:rsidRPr="0047023D">
        <w:rPr>
          <w:rFonts w:ascii="Times New Roman" w:hAnsi="Times New Roman"/>
          <w:sz w:val="24"/>
          <w:szCs w:val="24"/>
        </w:rPr>
        <w:t>субъекта МСП</w:t>
      </w:r>
      <w:r w:rsidRPr="0047023D">
        <w:rPr>
          <w:rFonts w:ascii="Times New Roman" w:hAnsi="Times New Roman"/>
          <w:sz w:val="24"/>
          <w:szCs w:val="24"/>
        </w:rPr>
        <w:t xml:space="preserve">, </w:t>
      </w:r>
      <w:r w:rsidR="008F2AD8" w:rsidRPr="0047023D">
        <w:rPr>
          <w:rFonts w:ascii="Times New Roman" w:hAnsi="Times New Roman"/>
          <w:sz w:val="24"/>
          <w:szCs w:val="24"/>
        </w:rPr>
        <w:t xml:space="preserve">(за исключением поручительства по договорам финансовой аренды (лизинга)) устанавливается Правлением </w:t>
      </w:r>
      <w:r w:rsidR="00C32C1E">
        <w:rPr>
          <w:rFonts w:ascii="Times New Roman" w:hAnsi="Times New Roman"/>
          <w:sz w:val="24"/>
          <w:szCs w:val="24"/>
        </w:rPr>
        <w:t>РГО</w:t>
      </w:r>
      <w:r w:rsidR="008F2AD8" w:rsidRPr="0047023D">
        <w:rPr>
          <w:rFonts w:ascii="Times New Roman" w:hAnsi="Times New Roman"/>
          <w:sz w:val="24"/>
          <w:szCs w:val="24"/>
        </w:rPr>
        <w:t xml:space="preserve"> на 1 (первое) число текущего финансового года и</w:t>
      </w:r>
      <w:r w:rsidR="008F2AD8" w:rsidRPr="0047023D">
        <w:rPr>
          <w:rFonts w:ascii="Times New Roman" w:hAnsi="Times New Roman" w:cs="Times New Roman"/>
          <w:sz w:val="24"/>
          <w:szCs w:val="24"/>
        </w:rPr>
        <w:t xml:space="preserve"> не </w:t>
      </w:r>
      <w:r w:rsidR="008F2AD8" w:rsidRPr="0047023D">
        <w:rPr>
          <w:rFonts w:ascii="Times New Roman" w:hAnsi="Times New Roman"/>
          <w:sz w:val="24"/>
          <w:szCs w:val="24"/>
        </w:rPr>
        <w:t xml:space="preserve">может превышать </w:t>
      </w:r>
      <w:r w:rsidR="008F2AD8" w:rsidRPr="0047023D">
        <w:rPr>
          <w:rFonts w:ascii="Times New Roman" w:hAnsi="Times New Roman" w:cs="Times New Roman"/>
          <w:sz w:val="24"/>
          <w:szCs w:val="24"/>
        </w:rPr>
        <w:t xml:space="preserve">25 млн. рублей, но не более 10 % гарантийного капитала </w:t>
      </w:r>
      <w:r w:rsidR="00BC746C">
        <w:rPr>
          <w:rFonts w:ascii="Times New Roman" w:hAnsi="Times New Roman" w:cs="Times New Roman"/>
          <w:sz w:val="24"/>
          <w:szCs w:val="24"/>
        </w:rPr>
        <w:t>РГО</w:t>
      </w:r>
      <w:r w:rsidRPr="0047023D">
        <w:rPr>
          <w:rFonts w:ascii="Times New Roman" w:hAnsi="Times New Roman" w:cs="Times New Roman"/>
          <w:sz w:val="24"/>
          <w:szCs w:val="24"/>
        </w:rPr>
        <w:t>;</w:t>
      </w:r>
    </w:p>
    <w:bookmarkEnd w:id="3"/>
    <w:p w:rsidR="009603B5" w:rsidRPr="0047023D" w:rsidRDefault="00C23A06" w:rsidP="009603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3D">
        <w:rPr>
          <w:rFonts w:ascii="Times New Roman" w:hAnsi="Times New Roman" w:cs="Times New Roman"/>
          <w:sz w:val="24"/>
          <w:szCs w:val="24"/>
        </w:rPr>
        <w:t xml:space="preserve">- </w:t>
      </w:r>
      <w:r w:rsidRPr="0047023D">
        <w:rPr>
          <w:rFonts w:ascii="Times New Roman" w:hAnsi="Times New Roman"/>
          <w:sz w:val="24"/>
          <w:szCs w:val="24"/>
        </w:rPr>
        <w:t>в отношении физического лица, применяющего специальный налоговый режим «Налог на профессиональный доход»</w:t>
      </w:r>
      <w:r w:rsidR="009603B5" w:rsidRPr="0047023D">
        <w:rPr>
          <w:rFonts w:ascii="Times New Roman" w:hAnsi="Times New Roman"/>
          <w:sz w:val="24"/>
          <w:szCs w:val="24"/>
        </w:rPr>
        <w:t xml:space="preserve"> устанавливается Правлением </w:t>
      </w:r>
      <w:r w:rsidR="00AB3916">
        <w:rPr>
          <w:rFonts w:ascii="Times New Roman" w:hAnsi="Times New Roman"/>
          <w:sz w:val="24"/>
          <w:szCs w:val="24"/>
        </w:rPr>
        <w:t>РГО</w:t>
      </w:r>
      <w:r w:rsidR="009603B5" w:rsidRPr="0047023D">
        <w:rPr>
          <w:rFonts w:ascii="Times New Roman" w:hAnsi="Times New Roman"/>
          <w:sz w:val="24"/>
          <w:szCs w:val="24"/>
        </w:rPr>
        <w:t xml:space="preserve"> на 1 (первое) число текущего финансового года и не может превышать </w:t>
      </w:r>
      <w:r w:rsidR="004E69CD" w:rsidRPr="0047023D">
        <w:rPr>
          <w:rFonts w:ascii="Times New Roman" w:hAnsi="Times New Roman"/>
          <w:sz w:val="24"/>
          <w:szCs w:val="24"/>
        </w:rPr>
        <w:t>1</w:t>
      </w:r>
      <w:r w:rsidR="009603B5" w:rsidRPr="0047023D">
        <w:rPr>
          <w:rFonts w:ascii="Times New Roman" w:hAnsi="Times New Roman"/>
          <w:sz w:val="24"/>
          <w:szCs w:val="24"/>
        </w:rPr>
        <w:t xml:space="preserve"> млн. рублей</w:t>
      </w:r>
      <w:r w:rsidR="004E69CD" w:rsidRPr="0047023D">
        <w:rPr>
          <w:rFonts w:ascii="Times New Roman" w:hAnsi="Times New Roman"/>
          <w:sz w:val="24"/>
          <w:szCs w:val="24"/>
        </w:rPr>
        <w:t>,</w:t>
      </w:r>
      <w:r w:rsidR="009603B5" w:rsidRPr="0047023D">
        <w:rPr>
          <w:rFonts w:ascii="Times New Roman" w:hAnsi="Times New Roman"/>
          <w:sz w:val="24"/>
          <w:szCs w:val="24"/>
        </w:rPr>
        <w:t xml:space="preserve"> </w:t>
      </w:r>
      <w:r w:rsidR="009603B5" w:rsidRPr="0047023D">
        <w:rPr>
          <w:rFonts w:ascii="Times New Roman" w:hAnsi="Times New Roman" w:cs="Times New Roman"/>
          <w:sz w:val="24"/>
          <w:szCs w:val="24"/>
        </w:rPr>
        <w:t xml:space="preserve">но не более 10 % гарантийного капитала </w:t>
      </w:r>
      <w:r w:rsidR="00BC746C">
        <w:rPr>
          <w:rFonts w:ascii="Times New Roman" w:hAnsi="Times New Roman" w:cs="Times New Roman"/>
          <w:sz w:val="24"/>
          <w:szCs w:val="24"/>
        </w:rPr>
        <w:t>РГО</w:t>
      </w:r>
      <w:r w:rsidR="009603B5" w:rsidRPr="0047023D">
        <w:rPr>
          <w:rFonts w:ascii="Times New Roman" w:hAnsi="Times New Roman" w:cs="Times New Roman"/>
          <w:sz w:val="24"/>
          <w:szCs w:val="24"/>
        </w:rPr>
        <w:t>;</w:t>
      </w:r>
    </w:p>
    <w:p w:rsidR="008F2AD8" w:rsidRDefault="0047023D" w:rsidP="008F2AD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3D">
        <w:rPr>
          <w:rFonts w:ascii="Times New Roman" w:hAnsi="Times New Roman" w:cs="Times New Roman"/>
          <w:sz w:val="24"/>
          <w:szCs w:val="24"/>
        </w:rPr>
        <w:t xml:space="preserve">- </w:t>
      </w:r>
      <w:r w:rsidR="008F2AD8" w:rsidRPr="0047023D">
        <w:rPr>
          <w:rFonts w:ascii="Times New Roman" w:hAnsi="Times New Roman" w:cs="Times New Roman"/>
          <w:sz w:val="24"/>
          <w:szCs w:val="24"/>
        </w:rPr>
        <w:t>по договорам финансовой аренды (лизинга) в отношении одного субъекта МСП</w:t>
      </w:r>
      <w:r w:rsidR="00C23A06" w:rsidRPr="0047023D">
        <w:rPr>
          <w:rFonts w:ascii="Times New Roman" w:hAnsi="Times New Roman" w:cs="Times New Roman"/>
          <w:sz w:val="24"/>
          <w:szCs w:val="24"/>
        </w:rPr>
        <w:t xml:space="preserve">, </w:t>
      </w:r>
      <w:r w:rsidR="008F2AD8" w:rsidRPr="0047023D">
        <w:rPr>
          <w:rFonts w:ascii="Times New Roman" w:hAnsi="Times New Roman" w:cs="Times New Roman"/>
          <w:sz w:val="24"/>
          <w:szCs w:val="24"/>
        </w:rPr>
        <w:t xml:space="preserve">устанавливается Правлением </w:t>
      </w:r>
      <w:r w:rsidR="00BC746C">
        <w:rPr>
          <w:rFonts w:ascii="Times New Roman" w:hAnsi="Times New Roman" w:cs="Times New Roman"/>
          <w:sz w:val="24"/>
          <w:szCs w:val="24"/>
        </w:rPr>
        <w:t>РГО</w:t>
      </w:r>
      <w:r w:rsidR="008F2AD8" w:rsidRPr="0047023D">
        <w:rPr>
          <w:rFonts w:ascii="Times New Roman" w:hAnsi="Times New Roman" w:cs="Times New Roman"/>
          <w:sz w:val="24"/>
          <w:szCs w:val="24"/>
        </w:rPr>
        <w:t xml:space="preserve"> на 1 (первое) число текущего финансового года и не может превышать </w:t>
      </w:r>
      <w:r w:rsidR="008F2AD8">
        <w:rPr>
          <w:rFonts w:ascii="Times New Roman" w:hAnsi="Times New Roman" w:cs="Times New Roman"/>
          <w:sz w:val="24"/>
          <w:szCs w:val="24"/>
        </w:rPr>
        <w:t>3</w:t>
      </w:r>
      <w:r w:rsidR="008F2AD8" w:rsidRPr="004651EC">
        <w:rPr>
          <w:rFonts w:ascii="Times New Roman" w:hAnsi="Times New Roman" w:cs="Times New Roman"/>
          <w:sz w:val="24"/>
          <w:szCs w:val="24"/>
        </w:rPr>
        <w:t xml:space="preserve"> млн. рублей, но не более 10 % гарантийного капитала </w:t>
      </w:r>
      <w:r w:rsidR="00BC746C">
        <w:rPr>
          <w:rFonts w:ascii="Times New Roman" w:hAnsi="Times New Roman" w:cs="Times New Roman"/>
          <w:sz w:val="24"/>
          <w:szCs w:val="24"/>
        </w:rPr>
        <w:t>РГО</w:t>
      </w:r>
      <w:r w:rsidR="008F2AD8" w:rsidRPr="004651EC">
        <w:rPr>
          <w:rFonts w:ascii="Times New Roman" w:hAnsi="Times New Roman" w:cs="Times New Roman"/>
          <w:sz w:val="24"/>
          <w:szCs w:val="24"/>
        </w:rPr>
        <w:t>.</w:t>
      </w:r>
    </w:p>
    <w:p w:rsidR="00BB70FA" w:rsidRPr="00A732D0" w:rsidRDefault="007757BF" w:rsidP="00BB7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2FE1" w:rsidRPr="00DE4829">
        <w:rPr>
          <w:rFonts w:ascii="Times New Roman" w:hAnsi="Times New Roman" w:cs="Times New Roman"/>
          <w:sz w:val="24"/>
          <w:szCs w:val="24"/>
        </w:rPr>
        <w:t>.</w:t>
      </w:r>
      <w:r w:rsidR="00500305">
        <w:rPr>
          <w:rFonts w:ascii="Times New Roman" w:hAnsi="Times New Roman" w:cs="Times New Roman"/>
          <w:sz w:val="24"/>
          <w:szCs w:val="24"/>
        </w:rPr>
        <w:t>5</w:t>
      </w:r>
      <w:r w:rsidR="003A2FE1" w:rsidRPr="00DE4829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54335939"/>
      <w:r w:rsidR="00BB70FA" w:rsidRPr="00A732D0">
        <w:rPr>
          <w:rFonts w:ascii="Times New Roman" w:hAnsi="Times New Roman" w:cs="Times New Roman"/>
          <w:sz w:val="24"/>
          <w:szCs w:val="24"/>
        </w:rPr>
        <w:t xml:space="preserve">Гарантийный лимит на заемщика, то есть предельная сумма обязательств </w:t>
      </w:r>
      <w:r w:rsidR="00BC746C">
        <w:rPr>
          <w:rFonts w:ascii="Times New Roman" w:hAnsi="Times New Roman" w:cs="Times New Roman"/>
          <w:sz w:val="24"/>
          <w:szCs w:val="24"/>
        </w:rPr>
        <w:t>РГО</w:t>
      </w:r>
      <w:r w:rsidR="00BB70FA" w:rsidRPr="00A732D0">
        <w:rPr>
          <w:rFonts w:ascii="Times New Roman" w:hAnsi="Times New Roman" w:cs="Times New Roman"/>
          <w:sz w:val="24"/>
          <w:szCs w:val="24"/>
        </w:rPr>
        <w:t xml:space="preserve"> по договорам поручительств с учетом обязательств </w:t>
      </w:r>
      <w:r w:rsidR="00BC746C">
        <w:rPr>
          <w:rFonts w:ascii="Times New Roman" w:hAnsi="Times New Roman" w:cs="Times New Roman"/>
          <w:sz w:val="24"/>
          <w:szCs w:val="24"/>
        </w:rPr>
        <w:t>РГО</w:t>
      </w:r>
      <w:r w:rsidR="00BB70FA" w:rsidRPr="00A732D0">
        <w:rPr>
          <w:rFonts w:ascii="Times New Roman" w:hAnsi="Times New Roman" w:cs="Times New Roman"/>
          <w:sz w:val="24"/>
          <w:szCs w:val="24"/>
        </w:rPr>
        <w:t xml:space="preserve"> по договорам поручительств, заключенных в обеспечение договоров финансовой аренды (лизинга), которые могут одновременно действовать в отношении одного субъекта МСП,</w:t>
      </w:r>
      <w:r w:rsidR="00C23A06" w:rsidRPr="00A732D0">
        <w:rPr>
          <w:rFonts w:ascii="Times New Roman" w:hAnsi="Times New Roman" w:cs="Times New Roman"/>
          <w:sz w:val="24"/>
          <w:szCs w:val="24"/>
        </w:rPr>
        <w:t xml:space="preserve"> </w:t>
      </w:r>
      <w:r w:rsidR="00BB70FA" w:rsidRPr="00A732D0">
        <w:rPr>
          <w:rFonts w:ascii="Times New Roman" w:hAnsi="Times New Roman" w:cs="Times New Roman"/>
          <w:sz w:val="24"/>
          <w:szCs w:val="24"/>
        </w:rPr>
        <w:t xml:space="preserve">не может </w:t>
      </w:r>
      <w:proofErr w:type="gramStart"/>
      <w:r w:rsidR="00BB70FA" w:rsidRPr="00A732D0">
        <w:rPr>
          <w:rFonts w:ascii="Times New Roman" w:hAnsi="Times New Roman" w:cs="Times New Roman"/>
          <w:sz w:val="24"/>
          <w:szCs w:val="24"/>
        </w:rPr>
        <w:t>превышать  30</w:t>
      </w:r>
      <w:proofErr w:type="gramEnd"/>
      <w:r w:rsidR="00BB70FA" w:rsidRPr="00A732D0">
        <w:rPr>
          <w:rFonts w:ascii="Times New Roman" w:hAnsi="Times New Roman" w:cs="Times New Roman"/>
          <w:sz w:val="24"/>
          <w:szCs w:val="24"/>
        </w:rPr>
        <w:t xml:space="preserve"> млн. рублей, но не более 15 % гарантийного капитала </w:t>
      </w:r>
      <w:r w:rsidR="00BC746C">
        <w:rPr>
          <w:rFonts w:ascii="Times New Roman" w:hAnsi="Times New Roman" w:cs="Times New Roman"/>
          <w:sz w:val="24"/>
          <w:szCs w:val="24"/>
        </w:rPr>
        <w:t>РГО</w:t>
      </w:r>
      <w:r w:rsidR="00BB70FA" w:rsidRPr="00A732D0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BB70FA" w:rsidRPr="00126B3B" w:rsidRDefault="00BB70FA" w:rsidP="00BB7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2D0">
        <w:rPr>
          <w:rFonts w:ascii="Times New Roman" w:hAnsi="Times New Roman" w:cs="Times New Roman"/>
          <w:sz w:val="24"/>
          <w:szCs w:val="24"/>
        </w:rPr>
        <w:t>Гарантийный лимит на заемщика</w:t>
      </w:r>
      <w:r w:rsidRPr="00BB70FA">
        <w:rPr>
          <w:rFonts w:ascii="Times New Roman" w:hAnsi="Times New Roman" w:cs="Times New Roman"/>
          <w:sz w:val="24"/>
          <w:szCs w:val="24"/>
        </w:rPr>
        <w:t xml:space="preserve">, то есть предельная сумма обязательств </w:t>
      </w:r>
      <w:r w:rsidR="00300AE6">
        <w:rPr>
          <w:rFonts w:ascii="Times New Roman" w:hAnsi="Times New Roman" w:cs="Times New Roman"/>
          <w:sz w:val="24"/>
          <w:szCs w:val="24"/>
        </w:rPr>
        <w:t>РГО</w:t>
      </w:r>
      <w:r w:rsidRPr="00BB70FA">
        <w:rPr>
          <w:rFonts w:ascii="Times New Roman" w:hAnsi="Times New Roman" w:cs="Times New Roman"/>
          <w:sz w:val="24"/>
          <w:szCs w:val="24"/>
        </w:rPr>
        <w:t xml:space="preserve"> по договорам поручительств, заключенных в обеспечение договоров финансовой аренды (лизинга), которые могут </w:t>
      </w:r>
      <w:r w:rsidRPr="00126B3B">
        <w:rPr>
          <w:rFonts w:ascii="Times New Roman" w:hAnsi="Times New Roman" w:cs="Times New Roman"/>
          <w:sz w:val="24"/>
          <w:szCs w:val="24"/>
        </w:rPr>
        <w:t>одновременно действовать в отношении одного субъекта МСП,</w:t>
      </w:r>
      <w:r w:rsidR="00C23A06" w:rsidRPr="00126B3B">
        <w:rPr>
          <w:rFonts w:ascii="Times New Roman" w:hAnsi="Times New Roman" w:cs="Times New Roman"/>
          <w:sz w:val="24"/>
          <w:szCs w:val="24"/>
        </w:rPr>
        <w:t xml:space="preserve"> </w:t>
      </w:r>
      <w:r w:rsidRPr="00126B3B">
        <w:rPr>
          <w:rFonts w:ascii="Times New Roman" w:hAnsi="Times New Roman" w:cs="Times New Roman"/>
          <w:sz w:val="24"/>
          <w:szCs w:val="24"/>
        </w:rPr>
        <w:t xml:space="preserve">не может </w:t>
      </w:r>
      <w:proofErr w:type="gramStart"/>
      <w:r w:rsidRPr="00126B3B">
        <w:rPr>
          <w:rFonts w:ascii="Times New Roman" w:hAnsi="Times New Roman" w:cs="Times New Roman"/>
          <w:sz w:val="24"/>
          <w:szCs w:val="24"/>
        </w:rPr>
        <w:t>превышать  5</w:t>
      </w:r>
      <w:proofErr w:type="gramEnd"/>
      <w:r w:rsidRPr="00126B3B">
        <w:rPr>
          <w:rFonts w:ascii="Times New Roman" w:hAnsi="Times New Roman" w:cs="Times New Roman"/>
          <w:sz w:val="24"/>
          <w:szCs w:val="24"/>
        </w:rPr>
        <w:t xml:space="preserve"> млн. рублей, но не более 15 % гарантийного капитала </w:t>
      </w:r>
      <w:r w:rsidR="00E3597A">
        <w:rPr>
          <w:rFonts w:ascii="Times New Roman" w:hAnsi="Times New Roman" w:cs="Times New Roman"/>
          <w:sz w:val="24"/>
          <w:szCs w:val="24"/>
        </w:rPr>
        <w:t>РГО</w:t>
      </w:r>
      <w:r w:rsidRPr="00126B3B">
        <w:rPr>
          <w:rFonts w:ascii="Times New Roman" w:hAnsi="Times New Roman" w:cs="Times New Roman"/>
          <w:sz w:val="24"/>
          <w:szCs w:val="24"/>
        </w:rPr>
        <w:t>.</w:t>
      </w:r>
    </w:p>
    <w:p w:rsidR="00516FB3" w:rsidRPr="00126B3B" w:rsidRDefault="00516FB3" w:rsidP="00BB7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3B">
        <w:rPr>
          <w:rFonts w:ascii="Times New Roman" w:hAnsi="Times New Roman" w:cs="Times New Roman"/>
          <w:sz w:val="24"/>
          <w:szCs w:val="24"/>
        </w:rPr>
        <w:t xml:space="preserve">Гарантийный лимит на заемщика, то есть предельная сумма обязательств </w:t>
      </w:r>
      <w:r w:rsidR="00300AE6">
        <w:rPr>
          <w:rFonts w:ascii="Times New Roman" w:hAnsi="Times New Roman" w:cs="Times New Roman"/>
          <w:sz w:val="24"/>
          <w:szCs w:val="24"/>
        </w:rPr>
        <w:t>РГО</w:t>
      </w:r>
      <w:r w:rsidRPr="00126B3B">
        <w:rPr>
          <w:rFonts w:ascii="Times New Roman" w:hAnsi="Times New Roman" w:cs="Times New Roman"/>
          <w:sz w:val="24"/>
          <w:szCs w:val="24"/>
        </w:rPr>
        <w:t xml:space="preserve"> по договорам поручительств, которые могут одновременно действовать в отношении одного </w:t>
      </w:r>
      <w:r w:rsidR="007B34DD" w:rsidRPr="00126B3B">
        <w:rPr>
          <w:rFonts w:ascii="Times New Roman" w:hAnsi="Times New Roman" w:cs="Times New Roman"/>
          <w:sz w:val="24"/>
          <w:szCs w:val="24"/>
        </w:rPr>
        <w:t>физического лица, применяющего специальный налоговый режим «Налог на профессиональный доход»</w:t>
      </w:r>
      <w:r w:rsidRPr="00126B3B">
        <w:rPr>
          <w:rFonts w:ascii="Times New Roman" w:hAnsi="Times New Roman" w:cs="Times New Roman"/>
          <w:sz w:val="24"/>
          <w:szCs w:val="24"/>
        </w:rPr>
        <w:t xml:space="preserve">, не может </w:t>
      </w:r>
      <w:proofErr w:type="gramStart"/>
      <w:r w:rsidRPr="00126B3B">
        <w:rPr>
          <w:rFonts w:ascii="Times New Roman" w:hAnsi="Times New Roman" w:cs="Times New Roman"/>
          <w:sz w:val="24"/>
          <w:szCs w:val="24"/>
        </w:rPr>
        <w:t xml:space="preserve">превышать  </w:t>
      </w:r>
      <w:r w:rsidR="007B34DD" w:rsidRPr="00126B3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6B3B">
        <w:rPr>
          <w:rFonts w:ascii="Times New Roman" w:hAnsi="Times New Roman" w:cs="Times New Roman"/>
          <w:sz w:val="24"/>
          <w:szCs w:val="24"/>
        </w:rPr>
        <w:t xml:space="preserve"> млн. рублей, но не более 15 % гарантийного капитала </w:t>
      </w:r>
      <w:r w:rsidR="00300AE6">
        <w:rPr>
          <w:rFonts w:ascii="Times New Roman" w:hAnsi="Times New Roman" w:cs="Times New Roman"/>
          <w:sz w:val="24"/>
          <w:szCs w:val="24"/>
        </w:rPr>
        <w:t>РГО</w:t>
      </w:r>
      <w:r w:rsidRPr="00126B3B">
        <w:rPr>
          <w:rFonts w:ascii="Times New Roman" w:hAnsi="Times New Roman" w:cs="Times New Roman"/>
          <w:sz w:val="24"/>
          <w:szCs w:val="24"/>
        </w:rPr>
        <w:t>.</w:t>
      </w:r>
    </w:p>
    <w:p w:rsidR="003A2FE1" w:rsidRPr="00126B3B" w:rsidRDefault="007757BF" w:rsidP="00BB7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3B">
        <w:rPr>
          <w:rFonts w:ascii="Times New Roman" w:hAnsi="Times New Roman" w:cs="Times New Roman"/>
          <w:sz w:val="24"/>
          <w:szCs w:val="24"/>
        </w:rPr>
        <w:t>2</w:t>
      </w:r>
      <w:r w:rsidR="003A2FE1" w:rsidRPr="00126B3B">
        <w:rPr>
          <w:rFonts w:ascii="Times New Roman" w:hAnsi="Times New Roman" w:cs="Times New Roman"/>
          <w:sz w:val="24"/>
          <w:szCs w:val="24"/>
        </w:rPr>
        <w:t>.</w:t>
      </w:r>
      <w:r w:rsidR="00500305" w:rsidRPr="00126B3B">
        <w:rPr>
          <w:rFonts w:ascii="Times New Roman" w:hAnsi="Times New Roman" w:cs="Times New Roman"/>
          <w:sz w:val="24"/>
          <w:szCs w:val="24"/>
        </w:rPr>
        <w:t>6</w:t>
      </w:r>
      <w:r w:rsidR="003A2FE1" w:rsidRPr="00126B3B">
        <w:rPr>
          <w:rFonts w:ascii="Times New Roman" w:hAnsi="Times New Roman" w:cs="Times New Roman"/>
          <w:sz w:val="24"/>
          <w:szCs w:val="24"/>
        </w:rPr>
        <w:t>. Изменение максимального объема единовременно выдаваемого поручительства и гарантийного лимита</w:t>
      </w:r>
      <w:r w:rsidRPr="00126B3B">
        <w:rPr>
          <w:rFonts w:ascii="Times New Roman" w:hAnsi="Times New Roman" w:cs="Times New Roman"/>
          <w:sz w:val="24"/>
          <w:szCs w:val="24"/>
        </w:rPr>
        <w:t xml:space="preserve"> </w:t>
      </w:r>
      <w:r w:rsidR="003A2FE1" w:rsidRPr="00126B3B">
        <w:rPr>
          <w:rFonts w:ascii="Times New Roman" w:hAnsi="Times New Roman" w:cs="Times New Roman"/>
          <w:sz w:val="24"/>
          <w:szCs w:val="24"/>
        </w:rPr>
        <w:t xml:space="preserve">на заемщика осуществляется </w:t>
      </w:r>
      <w:r w:rsidRPr="00126B3B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300AE6">
        <w:rPr>
          <w:rFonts w:ascii="Times New Roman" w:hAnsi="Times New Roman" w:cs="Times New Roman"/>
          <w:sz w:val="24"/>
          <w:szCs w:val="24"/>
        </w:rPr>
        <w:t>РГО</w:t>
      </w:r>
      <w:r w:rsidR="003A2FE1" w:rsidRPr="00126B3B">
        <w:rPr>
          <w:rFonts w:ascii="Times New Roman" w:hAnsi="Times New Roman" w:cs="Times New Roman"/>
          <w:sz w:val="24"/>
          <w:szCs w:val="24"/>
        </w:rPr>
        <w:t xml:space="preserve"> в случае изменения размера гарантийного капитала.</w:t>
      </w:r>
    </w:p>
    <w:p w:rsidR="00BB70FA" w:rsidRPr="00126B3B" w:rsidRDefault="007757BF" w:rsidP="00BB70FA">
      <w:pPr>
        <w:pStyle w:val="af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  <w:r w:rsidRPr="00126B3B">
        <w:rPr>
          <w:rFonts w:ascii="Times New Roman" w:hAnsi="Times New Roman"/>
        </w:rPr>
        <w:t>2</w:t>
      </w:r>
      <w:r w:rsidR="003A2FE1" w:rsidRPr="00126B3B">
        <w:rPr>
          <w:rFonts w:ascii="Times New Roman" w:hAnsi="Times New Roman"/>
        </w:rPr>
        <w:t>.</w:t>
      </w:r>
      <w:r w:rsidR="00500305" w:rsidRPr="00126B3B">
        <w:rPr>
          <w:rFonts w:ascii="Times New Roman" w:hAnsi="Times New Roman"/>
        </w:rPr>
        <w:t>7</w:t>
      </w:r>
      <w:r w:rsidR="003A2FE1" w:rsidRPr="00126B3B">
        <w:rPr>
          <w:rFonts w:ascii="Times New Roman" w:hAnsi="Times New Roman"/>
        </w:rPr>
        <w:t xml:space="preserve">. </w:t>
      </w:r>
      <w:r w:rsidR="00BB70FA" w:rsidRPr="00126B3B">
        <w:rPr>
          <w:rFonts w:ascii="Times New Roman" w:hAnsi="Times New Roman"/>
        </w:rPr>
        <w:t xml:space="preserve">Максимальная ответственность </w:t>
      </w:r>
      <w:r w:rsidR="00300AE6">
        <w:rPr>
          <w:rFonts w:ascii="Times New Roman" w:hAnsi="Times New Roman"/>
        </w:rPr>
        <w:t>РГО</w:t>
      </w:r>
      <w:r w:rsidR="00BB70FA" w:rsidRPr="00126B3B">
        <w:rPr>
          <w:rFonts w:ascii="Times New Roman" w:hAnsi="Times New Roman"/>
        </w:rPr>
        <w:t xml:space="preserve"> перед финансовыми организациями </w:t>
      </w:r>
      <w:r w:rsidR="00300AE6">
        <w:rPr>
          <w:rFonts w:ascii="Times New Roman" w:hAnsi="Times New Roman"/>
        </w:rPr>
        <w:br/>
      </w:r>
      <w:r w:rsidR="00BB70FA" w:rsidRPr="00126B3B">
        <w:rPr>
          <w:rFonts w:ascii="Times New Roman" w:hAnsi="Times New Roman"/>
        </w:rPr>
        <w:t xml:space="preserve">(за исключением лизинговых компаний) не может превышать </w:t>
      </w:r>
      <w:r w:rsidR="00A732D0" w:rsidRPr="00126B3B">
        <w:rPr>
          <w:rFonts w:ascii="Times New Roman" w:hAnsi="Times New Roman"/>
        </w:rPr>
        <w:t>70</w:t>
      </w:r>
      <w:r w:rsidR="00BB70FA" w:rsidRPr="00126B3B">
        <w:rPr>
          <w:rFonts w:ascii="Times New Roman" w:hAnsi="Times New Roman"/>
        </w:rPr>
        <w:t xml:space="preserve"> % от суммы не исполненных субъектом МСП</w:t>
      </w:r>
      <w:r w:rsidR="00C23A06" w:rsidRPr="00126B3B">
        <w:rPr>
          <w:rFonts w:ascii="Times New Roman" w:hAnsi="Times New Roman"/>
        </w:rPr>
        <w:t>, а также физическ</w:t>
      </w:r>
      <w:r w:rsidR="00A732D0" w:rsidRPr="00126B3B">
        <w:rPr>
          <w:rFonts w:ascii="Times New Roman" w:hAnsi="Times New Roman"/>
        </w:rPr>
        <w:t>их</w:t>
      </w:r>
      <w:r w:rsidR="00C23A06" w:rsidRPr="00126B3B">
        <w:rPr>
          <w:rFonts w:ascii="Times New Roman" w:hAnsi="Times New Roman"/>
        </w:rPr>
        <w:t xml:space="preserve"> лиц, применяющ</w:t>
      </w:r>
      <w:r w:rsidR="00A732D0" w:rsidRPr="00126B3B">
        <w:rPr>
          <w:rFonts w:ascii="Times New Roman" w:hAnsi="Times New Roman"/>
        </w:rPr>
        <w:t>их</w:t>
      </w:r>
      <w:r w:rsidR="00C23A06" w:rsidRPr="00126B3B">
        <w:rPr>
          <w:rFonts w:ascii="Times New Roman" w:hAnsi="Times New Roman"/>
        </w:rPr>
        <w:t xml:space="preserve"> специальный налоговый режим «Налог на профессиональный доход»</w:t>
      </w:r>
      <w:r w:rsidR="00BB70FA" w:rsidRPr="00126B3B">
        <w:rPr>
          <w:rFonts w:ascii="Times New Roman" w:hAnsi="Times New Roman"/>
        </w:rPr>
        <w:t xml:space="preserve"> обязательств по заключенному Договору, на момент предъявления требования финансовой организацией по Договору, обеспеченному поручительством </w:t>
      </w:r>
      <w:r w:rsidR="00300AE6">
        <w:rPr>
          <w:rFonts w:ascii="Times New Roman" w:hAnsi="Times New Roman"/>
        </w:rPr>
        <w:t>РГО</w:t>
      </w:r>
      <w:r w:rsidR="00BB70FA" w:rsidRPr="00126B3B">
        <w:rPr>
          <w:rFonts w:ascii="Times New Roman" w:hAnsi="Times New Roman"/>
        </w:rPr>
        <w:t>.</w:t>
      </w:r>
    </w:p>
    <w:p w:rsidR="00BB70FA" w:rsidRDefault="00BB70FA" w:rsidP="00BB70FA">
      <w:pPr>
        <w:pStyle w:val="af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  <w:r w:rsidRPr="00126B3B">
        <w:rPr>
          <w:rFonts w:ascii="Times New Roman" w:hAnsi="Times New Roman"/>
        </w:rPr>
        <w:t>Максимальная ответственность</w:t>
      </w:r>
      <w:r w:rsidRPr="00BB70FA">
        <w:rPr>
          <w:rFonts w:ascii="Times New Roman" w:hAnsi="Times New Roman"/>
        </w:rPr>
        <w:t xml:space="preserve"> </w:t>
      </w:r>
      <w:r w:rsidR="00300AE6">
        <w:rPr>
          <w:rFonts w:ascii="Times New Roman" w:hAnsi="Times New Roman"/>
        </w:rPr>
        <w:t>РГО</w:t>
      </w:r>
      <w:r w:rsidRPr="00BB70FA">
        <w:rPr>
          <w:rFonts w:ascii="Times New Roman" w:hAnsi="Times New Roman"/>
        </w:rPr>
        <w:t xml:space="preserve"> перед лизинговыми компаниями не может превышать 20 % от суммы не исполненных субъектом МСП обязательств по заключенному Договору, на момент предъявления требования финансовой организацией по Договору, обеспеченному поручительством </w:t>
      </w:r>
      <w:r w:rsidR="00300AE6">
        <w:rPr>
          <w:rFonts w:ascii="Times New Roman" w:hAnsi="Times New Roman"/>
        </w:rPr>
        <w:t>РГО</w:t>
      </w:r>
      <w:r w:rsidRPr="00BB70FA">
        <w:rPr>
          <w:rFonts w:ascii="Times New Roman" w:hAnsi="Times New Roman"/>
        </w:rPr>
        <w:t>.</w:t>
      </w:r>
    </w:p>
    <w:p w:rsidR="00BB70FA" w:rsidRDefault="00BB70FA" w:rsidP="00DE4829">
      <w:pPr>
        <w:pStyle w:val="af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</w:p>
    <w:p w:rsidR="00300AE6" w:rsidRDefault="00300AE6" w:rsidP="00DE4829">
      <w:pPr>
        <w:pStyle w:val="af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</w:p>
    <w:p w:rsidR="00300AE6" w:rsidRDefault="00300AE6" w:rsidP="00DE4829">
      <w:pPr>
        <w:pStyle w:val="af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</w:p>
    <w:p w:rsidR="00300AE6" w:rsidRDefault="00300AE6" w:rsidP="00DE4829">
      <w:pPr>
        <w:pStyle w:val="af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</w:p>
    <w:p w:rsidR="00E0291E" w:rsidRPr="00300AE6" w:rsidRDefault="00E0291E" w:rsidP="00300AE6">
      <w:pPr>
        <w:pStyle w:val="a4"/>
        <w:numPr>
          <w:ilvl w:val="0"/>
          <w:numId w:val="1"/>
        </w:numPr>
        <w:ind w:left="0" w:right="-29" w:firstLine="0"/>
        <w:jc w:val="center"/>
        <w:rPr>
          <w:b/>
          <w:bCs/>
          <w:sz w:val="24"/>
          <w:szCs w:val="24"/>
        </w:rPr>
      </w:pPr>
      <w:r w:rsidRPr="00300AE6">
        <w:rPr>
          <w:b/>
          <w:bCs/>
          <w:sz w:val="24"/>
          <w:szCs w:val="24"/>
        </w:rPr>
        <w:t xml:space="preserve">Система лимитов </w:t>
      </w:r>
      <w:r w:rsidR="00A718CD">
        <w:rPr>
          <w:b/>
          <w:bCs/>
          <w:sz w:val="24"/>
          <w:szCs w:val="24"/>
        </w:rPr>
        <w:t>РГО</w:t>
      </w:r>
      <w:r w:rsidRPr="00300AE6">
        <w:rPr>
          <w:b/>
          <w:bCs/>
          <w:sz w:val="24"/>
          <w:szCs w:val="24"/>
        </w:rPr>
        <w:t xml:space="preserve"> по операциям предоставления поручительств</w:t>
      </w:r>
    </w:p>
    <w:p w:rsidR="00E0291E" w:rsidRDefault="00E0291E" w:rsidP="00E0291E">
      <w:pPr>
        <w:pStyle w:val="a4"/>
        <w:ind w:right="-29"/>
        <w:jc w:val="center"/>
        <w:rPr>
          <w:b/>
          <w:bCs/>
          <w:sz w:val="24"/>
          <w:szCs w:val="24"/>
        </w:rPr>
      </w:pPr>
    </w:p>
    <w:p w:rsidR="005D7B5E" w:rsidRPr="00DF213E" w:rsidRDefault="007757BF" w:rsidP="005D7B5E">
      <w:pPr>
        <w:pStyle w:val="a4"/>
        <w:ind w:right="-2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61A0A">
        <w:rPr>
          <w:bCs/>
          <w:sz w:val="24"/>
          <w:szCs w:val="24"/>
        </w:rPr>
        <w:t xml:space="preserve">.1. </w:t>
      </w:r>
      <w:r w:rsidR="005D7B5E" w:rsidRPr="00032FFD">
        <w:rPr>
          <w:bCs/>
          <w:sz w:val="24"/>
          <w:szCs w:val="24"/>
        </w:rPr>
        <w:t xml:space="preserve">В целях обеспечения </w:t>
      </w:r>
      <w:r w:rsidR="005D7B5E" w:rsidRPr="00DF213E">
        <w:rPr>
          <w:bCs/>
          <w:sz w:val="24"/>
          <w:szCs w:val="24"/>
        </w:rPr>
        <w:t>приемлемого уровня рисков</w:t>
      </w:r>
      <w:r w:rsidR="00CB0E78" w:rsidRPr="00DF213E">
        <w:rPr>
          <w:bCs/>
          <w:sz w:val="24"/>
          <w:szCs w:val="24"/>
        </w:rPr>
        <w:t>,</w:t>
      </w:r>
      <w:r w:rsidR="005D7B5E" w:rsidRPr="00DF213E">
        <w:rPr>
          <w:bCs/>
          <w:sz w:val="24"/>
          <w:szCs w:val="24"/>
        </w:rPr>
        <w:t xml:space="preserve"> </w:t>
      </w:r>
      <w:r w:rsidR="00300AE6">
        <w:rPr>
          <w:bCs/>
          <w:sz w:val="24"/>
          <w:szCs w:val="24"/>
        </w:rPr>
        <w:t>РГО</w:t>
      </w:r>
      <w:r w:rsidR="005D7B5E" w:rsidRPr="00DF213E">
        <w:rPr>
          <w:bCs/>
          <w:sz w:val="24"/>
          <w:szCs w:val="24"/>
        </w:rPr>
        <w:t xml:space="preserve"> создает систему лимитов по операциям предоставления поручительств</w:t>
      </w:r>
      <w:r w:rsidR="00032FFD" w:rsidRPr="00DF213E">
        <w:rPr>
          <w:bCs/>
          <w:sz w:val="24"/>
          <w:szCs w:val="24"/>
        </w:rPr>
        <w:t xml:space="preserve"> </w:t>
      </w:r>
      <w:r w:rsidR="005D7B5E" w:rsidRPr="00DF213E">
        <w:rPr>
          <w:bCs/>
          <w:sz w:val="24"/>
          <w:szCs w:val="24"/>
        </w:rPr>
        <w:t>по обязательствам субъектов МСП,</w:t>
      </w:r>
      <w:r w:rsidR="00C23A06" w:rsidRPr="00DF213E">
        <w:rPr>
          <w:bCs/>
          <w:sz w:val="24"/>
          <w:szCs w:val="24"/>
        </w:rPr>
        <w:t xml:space="preserve"> </w:t>
      </w:r>
      <w:r w:rsidR="00C23A06" w:rsidRPr="00DF213E">
        <w:rPr>
          <w:sz w:val="24"/>
          <w:szCs w:val="24"/>
        </w:rPr>
        <w:t>а также физическ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лиц, применяющ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специальный налоговый режим «Налог на профессиональный доход»,</w:t>
      </w:r>
      <w:r w:rsidR="005D7B5E" w:rsidRPr="00DF213E">
        <w:rPr>
          <w:bCs/>
          <w:sz w:val="24"/>
          <w:szCs w:val="24"/>
        </w:rPr>
        <w:t xml:space="preserve"> которая включает в себя следующие лимиты:</w:t>
      </w:r>
    </w:p>
    <w:p w:rsidR="005D7B5E" w:rsidRPr="00DF213E" w:rsidRDefault="005D7B5E" w:rsidP="005D7B5E">
      <w:pPr>
        <w:pStyle w:val="a4"/>
        <w:ind w:right="-29"/>
        <w:rPr>
          <w:bCs/>
          <w:sz w:val="24"/>
          <w:szCs w:val="24"/>
        </w:rPr>
      </w:pPr>
      <w:r w:rsidRPr="00DF213E">
        <w:rPr>
          <w:bCs/>
          <w:sz w:val="24"/>
          <w:szCs w:val="24"/>
        </w:rPr>
        <w:t>1) общий операционный лимит условных обязательств кредитного характера (общий операционный лимит условных обязательств);</w:t>
      </w:r>
    </w:p>
    <w:p w:rsidR="005D7B5E" w:rsidRPr="00DF213E" w:rsidRDefault="005D7B5E" w:rsidP="005D7B5E">
      <w:pPr>
        <w:pStyle w:val="a4"/>
        <w:ind w:right="-29"/>
        <w:rPr>
          <w:bCs/>
          <w:sz w:val="24"/>
          <w:szCs w:val="24"/>
        </w:rPr>
      </w:pPr>
      <w:r w:rsidRPr="00DF213E">
        <w:rPr>
          <w:bCs/>
          <w:sz w:val="24"/>
          <w:szCs w:val="24"/>
        </w:rPr>
        <w:t>2) операционный лимит на вновь принятые условные обязательства</w:t>
      </w:r>
      <w:r w:rsidR="00032FFD" w:rsidRPr="00DF213E">
        <w:rPr>
          <w:bCs/>
          <w:sz w:val="24"/>
          <w:szCs w:val="24"/>
        </w:rPr>
        <w:t xml:space="preserve"> </w:t>
      </w:r>
      <w:r w:rsidRPr="00DF213E">
        <w:rPr>
          <w:bCs/>
          <w:sz w:val="24"/>
          <w:szCs w:val="24"/>
        </w:rPr>
        <w:t>на год;</w:t>
      </w:r>
    </w:p>
    <w:p w:rsidR="00E0291E" w:rsidRPr="00DF213E" w:rsidRDefault="005D7B5E" w:rsidP="005D7B5E">
      <w:pPr>
        <w:pStyle w:val="a4"/>
        <w:ind w:right="-29"/>
        <w:rPr>
          <w:bCs/>
          <w:sz w:val="24"/>
          <w:szCs w:val="24"/>
        </w:rPr>
      </w:pPr>
      <w:r w:rsidRPr="00DF213E">
        <w:rPr>
          <w:bCs/>
          <w:sz w:val="24"/>
          <w:szCs w:val="24"/>
        </w:rPr>
        <w:t>3) лимит условных обязательств на финансовую организацию (совокупность финансовых организаций).</w:t>
      </w:r>
    </w:p>
    <w:p w:rsidR="00261A0A" w:rsidRPr="00514595" w:rsidRDefault="007757BF" w:rsidP="005D7B5E">
      <w:pPr>
        <w:pStyle w:val="a4"/>
        <w:ind w:right="-29"/>
        <w:rPr>
          <w:bCs/>
          <w:sz w:val="24"/>
          <w:szCs w:val="24"/>
        </w:rPr>
      </w:pPr>
      <w:r w:rsidRPr="00DF213E">
        <w:rPr>
          <w:bCs/>
          <w:sz w:val="24"/>
          <w:szCs w:val="24"/>
        </w:rPr>
        <w:t>3</w:t>
      </w:r>
      <w:r w:rsidR="00261A0A" w:rsidRPr="00DF213E">
        <w:rPr>
          <w:bCs/>
          <w:sz w:val="24"/>
          <w:szCs w:val="24"/>
        </w:rPr>
        <w:t xml:space="preserve">.2. </w:t>
      </w:r>
      <w:r w:rsidR="00261A0A" w:rsidRPr="00514595">
        <w:rPr>
          <w:bCs/>
          <w:sz w:val="24"/>
          <w:szCs w:val="24"/>
        </w:rPr>
        <w:t>Вышеуказанные лимиты</w:t>
      </w:r>
      <w:r w:rsidR="00FB612D" w:rsidRPr="00514595">
        <w:rPr>
          <w:bCs/>
          <w:sz w:val="24"/>
          <w:szCs w:val="24"/>
        </w:rPr>
        <w:t xml:space="preserve"> утверждаются </w:t>
      </w:r>
      <w:r w:rsidR="00C345D6" w:rsidRPr="00514595">
        <w:rPr>
          <w:bCs/>
          <w:sz w:val="24"/>
          <w:szCs w:val="24"/>
        </w:rPr>
        <w:t xml:space="preserve">Правлением </w:t>
      </w:r>
      <w:r w:rsidR="00300AE6" w:rsidRPr="00514595">
        <w:rPr>
          <w:bCs/>
          <w:sz w:val="24"/>
          <w:szCs w:val="24"/>
        </w:rPr>
        <w:t>РГО</w:t>
      </w:r>
      <w:r w:rsidR="00C345D6" w:rsidRPr="00514595">
        <w:rPr>
          <w:bCs/>
          <w:sz w:val="24"/>
          <w:szCs w:val="24"/>
        </w:rPr>
        <w:t xml:space="preserve"> и</w:t>
      </w:r>
      <w:r w:rsidR="00C345D6" w:rsidRPr="00514595">
        <w:t xml:space="preserve"> </w:t>
      </w:r>
      <w:r w:rsidR="00B87E43" w:rsidRPr="00514595">
        <w:rPr>
          <w:bCs/>
          <w:sz w:val="24"/>
          <w:szCs w:val="24"/>
        </w:rPr>
        <w:t>долж</w:t>
      </w:r>
      <w:r w:rsidR="00C345D6" w:rsidRPr="00514595">
        <w:rPr>
          <w:bCs/>
          <w:sz w:val="24"/>
          <w:szCs w:val="24"/>
        </w:rPr>
        <w:t>ны</w:t>
      </w:r>
      <w:r w:rsidR="00B87E43" w:rsidRPr="00514595">
        <w:rPr>
          <w:bCs/>
          <w:sz w:val="24"/>
          <w:szCs w:val="24"/>
        </w:rPr>
        <w:t xml:space="preserve"> быть выражен</w:t>
      </w:r>
      <w:r w:rsidR="00C345D6" w:rsidRPr="00514595">
        <w:rPr>
          <w:bCs/>
          <w:sz w:val="24"/>
          <w:szCs w:val="24"/>
        </w:rPr>
        <w:t>ы</w:t>
      </w:r>
      <w:r w:rsidR="00B87E43" w:rsidRPr="00514595">
        <w:rPr>
          <w:bCs/>
          <w:sz w:val="24"/>
          <w:szCs w:val="24"/>
        </w:rPr>
        <w:t xml:space="preserve"> в российских рублях</w:t>
      </w:r>
      <w:r w:rsidR="00FB612D" w:rsidRPr="00514595">
        <w:rPr>
          <w:bCs/>
          <w:sz w:val="24"/>
          <w:szCs w:val="24"/>
        </w:rPr>
        <w:t>.</w:t>
      </w:r>
    </w:p>
    <w:p w:rsidR="00E0291E" w:rsidRPr="00514595" w:rsidRDefault="00E0291E" w:rsidP="00E0291E">
      <w:pPr>
        <w:pStyle w:val="a4"/>
        <w:ind w:right="-29" w:firstLine="0"/>
        <w:rPr>
          <w:b/>
          <w:bCs/>
          <w:sz w:val="24"/>
          <w:szCs w:val="24"/>
        </w:rPr>
      </w:pPr>
    </w:p>
    <w:p w:rsidR="00776EF9" w:rsidRPr="00514595" w:rsidRDefault="007757BF" w:rsidP="00776EF9">
      <w:pPr>
        <w:ind w:right="-29" w:firstLine="567"/>
        <w:jc w:val="center"/>
        <w:rPr>
          <w:sz w:val="24"/>
          <w:szCs w:val="24"/>
        </w:rPr>
      </w:pPr>
      <w:r w:rsidRPr="00514595">
        <w:rPr>
          <w:b/>
          <w:sz w:val="24"/>
          <w:szCs w:val="24"/>
        </w:rPr>
        <w:t>4</w:t>
      </w:r>
      <w:r w:rsidR="00776EF9" w:rsidRPr="00514595">
        <w:rPr>
          <w:b/>
          <w:sz w:val="24"/>
          <w:szCs w:val="24"/>
        </w:rPr>
        <w:t>.</w:t>
      </w:r>
      <w:r w:rsidR="00776EF9" w:rsidRPr="00514595">
        <w:rPr>
          <w:b/>
          <w:sz w:val="24"/>
          <w:szCs w:val="24"/>
        </w:rPr>
        <w:tab/>
        <w:t>Операционный лимит на вновь принятые условные обязательства на год</w:t>
      </w:r>
    </w:p>
    <w:p w:rsidR="00776EF9" w:rsidRPr="00514595" w:rsidRDefault="00776EF9" w:rsidP="00776EF9">
      <w:pPr>
        <w:ind w:right="-29" w:firstLine="567"/>
        <w:rPr>
          <w:sz w:val="24"/>
          <w:szCs w:val="24"/>
        </w:rPr>
      </w:pPr>
    </w:p>
    <w:p w:rsidR="00B019AD" w:rsidRPr="00514595" w:rsidRDefault="007757BF" w:rsidP="00B019AD">
      <w:pPr>
        <w:ind w:right="-29" w:firstLine="567"/>
        <w:jc w:val="both"/>
        <w:rPr>
          <w:sz w:val="24"/>
          <w:szCs w:val="24"/>
        </w:rPr>
      </w:pPr>
      <w:r w:rsidRPr="00514595">
        <w:rPr>
          <w:sz w:val="24"/>
          <w:szCs w:val="24"/>
        </w:rPr>
        <w:t>4</w:t>
      </w:r>
      <w:r w:rsidR="00776EF9" w:rsidRPr="00514595">
        <w:rPr>
          <w:sz w:val="24"/>
          <w:szCs w:val="24"/>
        </w:rPr>
        <w:t xml:space="preserve">.1. </w:t>
      </w:r>
      <w:r w:rsidR="00B019AD" w:rsidRPr="00514595">
        <w:rPr>
          <w:sz w:val="24"/>
          <w:szCs w:val="24"/>
        </w:rPr>
        <w:t>Размер поручительств и (или) независимых гарантий РГО, планируемых к выдаче в следующем финансовом году, устанавливается исходя из гарантийного капитала, действующего портфеля поручительств и (или) независимых гарантий и операционного лимита на вновь принятые условные обязательства кредитного характера на год (далее - операционный лимит на вновь принятые условные обязательства на год) с целью определения максимального размера поручительств и (или) независимых гарантий, которые могут быть предоставлены РГО по обязательствам субъектов МСП, физических лиц, применяющих специальный налоговый режим "Налог на профессиональный доход", и организаций инфраструктуры поддержки в следующем финансовом году.</w:t>
      </w:r>
    </w:p>
    <w:p w:rsidR="00776EF9" w:rsidRPr="00514595" w:rsidRDefault="00776EF9" w:rsidP="00776EF9">
      <w:pPr>
        <w:ind w:right="-29" w:firstLine="567"/>
        <w:jc w:val="both"/>
        <w:rPr>
          <w:sz w:val="24"/>
          <w:szCs w:val="24"/>
        </w:rPr>
      </w:pPr>
      <w:r w:rsidRPr="00514595">
        <w:rPr>
          <w:sz w:val="24"/>
          <w:szCs w:val="24"/>
        </w:rPr>
        <w:t>Операционный лимит на вновь принятые условные обязательства на год рассчитывается исходя из:</w:t>
      </w:r>
    </w:p>
    <w:p w:rsidR="00776EF9" w:rsidRPr="00514595" w:rsidRDefault="00776EF9" w:rsidP="00776EF9">
      <w:pPr>
        <w:ind w:right="-29" w:firstLine="567"/>
        <w:jc w:val="both"/>
        <w:rPr>
          <w:sz w:val="24"/>
          <w:szCs w:val="24"/>
        </w:rPr>
      </w:pPr>
      <w:r w:rsidRPr="00514595">
        <w:rPr>
          <w:sz w:val="24"/>
          <w:szCs w:val="24"/>
        </w:rPr>
        <w:t xml:space="preserve">1) прироста капитала с начала деятельности </w:t>
      </w:r>
      <w:r w:rsidR="00300AE6" w:rsidRPr="00514595">
        <w:rPr>
          <w:sz w:val="24"/>
          <w:szCs w:val="24"/>
        </w:rPr>
        <w:t>РГО</w:t>
      </w:r>
      <w:r w:rsidRPr="00514595">
        <w:rPr>
          <w:sz w:val="24"/>
          <w:szCs w:val="24"/>
        </w:rPr>
        <w:t xml:space="preserve"> (в случае наличия);</w:t>
      </w:r>
    </w:p>
    <w:p w:rsidR="00776EF9" w:rsidRPr="00514595" w:rsidRDefault="00776EF9" w:rsidP="00776EF9">
      <w:pPr>
        <w:ind w:right="-29" w:firstLine="567"/>
        <w:jc w:val="both"/>
        <w:rPr>
          <w:sz w:val="24"/>
          <w:szCs w:val="24"/>
        </w:rPr>
      </w:pPr>
      <w:r w:rsidRPr="00514595">
        <w:rPr>
          <w:sz w:val="24"/>
          <w:szCs w:val="24"/>
        </w:rPr>
        <w:t>2) уровня ожидаемых потерь по вновь принятым обязательствам;</w:t>
      </w:r>
    </w:p>
    <w:p w:rsidR="00776EF9" w:rsidRPr="00514595" w:rsidRDefault="00776EF9" w:rsidP="00776EF9">
      <w:pPr>
        <w:ind w:right="-29" w:firstLine="567"/>
        <w:jc w:val="both"/>
        <w:rPr>
          <w:sz w:val="24"/>
          <w:szCs w:val="24"/>
        </w:rPr>
      </w:pPr>
      <w:r w:rsidRPr="00514595">
        <w:rPr>
          <w:sz w:val="24"/>
          <w:szCs w:val="24"/>
        </w:rPr>
        <w:t>3) уровня ожидаемых выплат по действующим обязательствам;</w:t>
      </w:r>
    </w:p>
    <w:p w:rsidR="00776EF9" w:rsidRPr="00DF213E" w:rsidRDefault="00776EF9" w:rsidP="00776EF9">
      <w:pPr>
        <w:ind w:right="-29" w:firstLine="567"/>
        <w:jc w:val="both"/>
        <w:rPr>
          <w:sz w:val="24"/>
          <w:szCs w:val="24"/>
        </w:rPr>
      </w:pPr>
      <w:r w:rsidRPr="00514595">
        <w:rPr>
          <w:sz w:val="24"/>
          <w:szCs w:val="24"/>
        </w:rPr>
        <w:t>4) доходов на следующий финансовый год от размещения гарантийного капитала и доходов от предоставления поручительств</w:t>
      </w:r>
      <w:r w:rsidRPr="00DF213E">
        <w:rPr>
          <w:sz w:val="24"/>
          <w:szCs w:val="24"/>
        </w:rPr>
        <w:t>;</w:t>
      </w:r>
    </w:p>
    <w:p w:rsidR="00776EF9" w:rsidRPr="00DF213E" w:rsidRDefault="00776EF9" w:rsidP="00776EF9">
      <w:pPr>
        <w:ind w:right="-29" w:firstLine="567"/>
        <w:jc w:val="both"/>
        <w:rPr>
          <w:sz w:val="24"/>
          <w:szCs w:val="24"/>
        </w:rPr>
      </w:pPr>
      <w:r w:rsidRPr="00DF213E">
        <w:rPr>
          <w:sz w:val="24"/>
          <w:szCs w:val="24"/>
        </w:rPr>
        <w:t>5) планируемых операционных расходов в следующем финансовом году (включая налоговые выплаты).</w:t>
      </w:r>
    </w:p>
    <w:p w:rsidR="00776EF9" w:rsidRPr="00DF213E" w:rsidRDefault="00776EF9" w:rsidP="00776EF9">
      <w:pPr>
        <w:ind w:right="-29" w:firstLine="567"/>
        <w:jc w:val="both"/>
        <w:rPr>
          <w:sz w:val="24"/>
          <w:szCs w:val="24"/>
        </w:rPr>
      </w:pPr>
      <w:r w:rsidRPr="00DF213E">
        <w:rPr>
          <w:sz w:val="24"/>
          <w:szCs w:val="24"/>
        </w:rPr>
        <w:t xml:space="preserve">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</w:t>
      </w:r>
      <w:r w:rsidR="00300AE6">
        <w:rPr>
          <w:sz w:val="24"/>
          <w:szCs w:val="24"/>
        </w:rPr>
        <w:t>РГО</w:t>
      </w:r>
      <w:r w:rsidR="00300AE6" w:rsidRPr="00DF213E">
        <w:rPr>
          <w:sz w:val="24"/>
          <w:szCs w:val="24"/>
        </w:rPr>
        <w:t xml:space="preserve"> </w:t>
      </w:r>
      <w:r w:rsidRPr="00DF213E">
        <w:rPr>
          <w:sz w:val="24"/>
          <w:szCs w:val="24"/>
        </w:rPr>
        <w:t>по обязательствам субъектов МСП</w:t>
      </w:r>
      <w:r w:rsidR="00C23A06" w:rsidRPr="00DF213E">
        <w:rPr>
          <w:sz w:val="24"/>
          <w:szCs w:val="24"/>
        </w:rPr>
        <w:t>, а также физическ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лиц, применяющ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Pr="00DF213E">
        <w:rPr>
          <w:sz w:val="24"/>
          <w:szCs w:val="24"/>
        </w:rPr>
        <w:t xml:space="preserve"> в следующем финансовом году.</w:t>
      </w:r>
    </w:p>
    <w:p w:rsidR="00776EF9" w:rsidRPr="00236A9F" w:rsidRDefault="007757BF" w:rsidP="00776EF9">
      <w:pPr>
        <w:ind w:right="-29" w:firstLine="567"/>
        <w:jc w:val="both"/>
        <w:rPr>
          <w:sz w:val="24"/>
          <w:szCs w:val="24"/>
        </w:rPr>
      </w:pPr>
      <w:r w:rsidRPr="00DF213E">
        <w:rPr>
          <w:sz w:val="24"/>
          <w:szCs w:val="24"/>
        </w:rPr>
        <w:t>4</w:t>
      </w:r>
      <w:r w:rsidR="00776EF9" w:rsidRPr="00DF213E">
        <w:rPr>
          <w:sz w:val="24"/>
          <w:szCs w:val="24"/>
        </w:rPr>
        <w:t>.2. Операционный лимит на вновь принятые условные обязательства</w:t>
      </w:r>
      <w:r w:rsidR="00776EF9" w:rsidRPr="00DF213E">
        <w:rPr>
          <w:sz w:val="24"/>
          <w:szCs w:val="24"/>
        </w:rPr>
        <w:br/>
        <w:t>на следующий год рассчитывается по формуле</w:t>
      </w:r>
      <w:r w:rsidR="00776EF9" w:rsidRPr="00236A9F">
        <w:rPr>
          <w:sz w:val="24"/>
          <w:szCs w:val="24"/>
        </w:rPr>
        <w:t>:</w:t>
      </w:r>
    </w:p>
    <w:p w:rsidR="00776EF9" w:rsidRPr="00236A9F" w:rsidRDefault="007757BF" w:rsidP="00776EF9">
      <w:pPr>
        <w:ind w:right="-29" w:firstLine="567"/>
        <w:jc w:val="both"/>
        <w:rPr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Л = максимум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Д+ΔК-В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П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;0</m:t>
            </m:r>
          </m:e>
        </m:d>
      </m:oMath>
      <w:r w:rsidR="00776EF9" w:rsidRPr="00236A9F">
        <w:rPr>
          <w:sz w:val="24"/>
          <w:szCs w:val="24"/>
        </w:rPr>
        <w:t>,</w:t>
      </w:r>
    </w:p>
    <w:p w:rsidR="00776EF9" w:rsidRPr="00236A9F" w:rsidRDefault="00776EF9" w:rsidP="00776EF9">
      <w:pPr>
        <w:ind w:right="-29" w:firstLine="567"/>
        <w:jc w:val="both"/>
        <w:rPr>
          <w:sz w:val="24"/>
          <w:szCs w:val="24"/>
        </w:rPr>
      </w:pPr>
      <w:r w:rsidRPr="00236A9F">
        <w:rPr>
          <w:sz w:val="24"/>
          <w:szCs w:val="24"/>
        </w:rPr>
        <w:t>где:</w:t>
      </w:r>
    </w:p>
    <w:p w:rsidR="00776EF9" w:rsidRPr="00236A9F" w:rsidRDefault="00776EF9" w:rsidP="00776EF9">
      <w:pPr>
        <w:ind w:right="-29" w:firstLine="567"/>
        <w:jc w:val="both"/>
        <w:rPr>
          <w:sz w:val="24"/>
          <w:szCs w:val="24"/>
        </w:rPr>
      </w:pPr>
      <w:r w:rsidRPr="00236A9F">
        <w:rPr>
          <w:b/>
          <w:sz w:val="24"/>
          <w:szCs w:val="24"/>
        </w:rPr>
        <w:t>Л</w:t>
      </w:r>
      <w:r w:rsidRPr="00236A9F">
        <w:rPr>
          <w:sz w:val="24"/>
          <w:szCs w:val="24"/>
        </w:rPr>
        <w:t xml:space="preserve"> – операционный лимит на вновь принятые условные обязательства</w:t>
      </w:r>
      <w:r w:rsidRPr="00236A9F">
        <w:rPr>
          <w:sz w:val="24"/>
          <w:szCs w:val="24"/>
        </w:rPr>
        <w:br/>
        <w:t>на год в рублях;</w:t>
      </w:r>
    </w:p>
    <w:p w:rsidR="00776EF9" w:rsidRPr="00236A9F" w:rsidRDefault="00776EF9" w:rsidP="00776EF9">
      <w:pPr>
        <w:ind w:right="-29" w:firstLine="567"/>
        <w:jc w:val="both"/>
        <w:rPr>
          <w:sz w:val="24"/>
          <w:szCs w:val="24"/>
        </w:rPr>
      </w:pPr>
      <w:r w:rsidRPr="00236A9F">
        <w:rPr>
          <w:b/>
          <w:sz w:val="24"/>
          <w:szCs w:val="24"/>
        </w:rPr>
        <w:t>Д</w:t>
      </w:r>
      <w:r w:rsidRPr="00236A9F">
        <w:rPr>
          <w:sz w:val="24"/>
          <w:szCs w:val="24"/>
        </w:rPr>
        <w:t xml:space="preserve"> – планируемый на следующий год доход от размещения временно свободных средств </w:t>
      </w:r>
      <w:r w:rsidR="00300AE6">
        <w:rPr>
          <w:sz w:val="24"/>
          <w:szCs w:val="24"/>
        </w:rPr>
        <w:t>РГО</w:t>
      </w:r>
      <w:r w:rsidR="00300AE6" w:rsidRPr="00236A9F"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доход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поручительств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за вычетом операционных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за указанный период (включая налоговые выплаты) в рублях;</w:t>
      </w:r>
    </w:p>
    <w:p w:rsidR="00776EF9" w:rsidRPr="00236A9F" w:rsidRDefault="00776EF9" w:rsidP="00776EF9">
      <w:pPr>
        <w:ind w:right="-29" w:firstLine="567"/>
        <w:jc w:val="both"/>
        <w:rPr>
          <w:sz w:val="24"/>
          <w:szCs w:val="24"/>
        </w:rPr>
      </w:pPr>
      <w:r w:rsidRPr="00236A9F">
        <w:rPr>
          <w:b/>
          <w:sz w:val="24"/>
          <w:szCs w:val="24"/>
        </w:rPr>
        <w:t>ΔК</w:t>
      </w:r>
      <w:r w:rsidRPr="00236A9F">
        <w:rPr>
          <w:sz w:val="24"/>
          <w:szCs w:val="24"/>
        </w:rPr>
        <w:t xml:space="preserve"> – прирост капитала с момента создания </w:t>
      </w:r>
      <w:r w:rsidR="00300AE6">
        <w:rPr>
          <w:sz w:val="24"/>
          <w:szCs w:val="24"/>
        </w:rPr>
        <w:t>РГО</w:t>
      </w:r>
      <w:r w:rsidR="00300AE6" w:rsidRPr="00236A9F"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 xml:space="preserve">в части, которая может быть направлена на выплаты по поручительствам согласно нормативным документам </w:t>
      </w:r>
      <w:r w:rsidR="00300AE6">
        <w:rPr>
          <w:sz w:val="24"/>
          <w:szCs w:val="24"/>
        </w:rPr>
        <w:t>РГО</w:t>
      </w:r>
      <w:r w:rsidR="00300AE6" w:rsidRPr="00236A9F"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>в рублях;</w:t>
      </w:r>
    </w:p>
    <w:p w:rsidR="00776EF9" w:rsidRPr="00236A9F" w:rsidRDefault="00776EF9" w:rsidP="00776EF9">
      <w:pPr>
        <w:ind w:right="-29" w:firstLine="567"/>
        <w:jc w:val="both"/>
        <w:rPr>
          <w:sz w:val="24"/>
          <w:szCs w:val="24"/>
        </w:rPr>
      </w:pPr>
      <w:r w:rsidRPr="00236A9F">
        <w:rPr>
          <w:b/>
          <w:sz w:val="24"/>
          <w:szCs w:val="24"/>
        </w:rPr>
        <w:t>В</w:t>
      </w:r>
      <w:r w:rsidRPr="00236A9F">
        <w:rPr>
          <w:sz w:val="24"/>
          <w:szCs w:val="24"/>
        </w:rPr>
        <w:t xml:space="preserve"> – ожидаемые выплаты по действующим на начало года поручительствам за весь оставшийся срок существования таких поручительств в рублях;</w:t>
      </w:r>
    </w:p>
    <w:p w:rsidR="00776EF9" w:rsidRPr="00236A9F" w:rsidRDefault="00776EF9" w:rsidP="00776EF9">
      <w:pPr>
        <w:ind w:right="-29" w:firstLine="567"/>
        <w:jc w:val="both"/>
        <w:rPr>
          <w:sz w:val="24"/>
          <w:szCs w:val="24"/>
        </w:rPr>
      </w:pPr>
      <w:r w:rsidRPr="00236A9F">
        <w:rPr>
          <w:b/>
          <w:sz w:val="24"/>
          <w:szCs w:val="24"/>
        </w:rPr>
        <w:t xml:space="preserve">П </w:t>
      </w:r>
      <w:r w:rsidRPr="00236A9F">
        <w:rPr>
          <w:sz w:val="24"/>
          <w:szCs w:val="24"/>
        </w:rPr>
        <w:t xml:space="preserve">– ожидаемые потери по предоставленным за следующий год поручительствам за весь срок существования таких поручительств. Данный показатель устанавливается на уровне фактического </w:t>
      </w:r>
      <w:r w:rsidRPr="00236A9F">
        <w:rPr>
          <w:sz w:val="24"/>
          <w:szCs w:val="24"/>
        </w:rPr>
        <w:lastRenderedPageBreak/>
        <w:t>размера убытков, определяемого</w:t>
      </w:r>
      <w:r>
        <w:rPr>
          <w:sz w:val="24"/>
          <w:szCs w:val="24"/>
        </w:rPr>
        <w:t xml:space="preserve"> </w:t>
      </w:r>
      <w:r w:rsidRPr="00236A9F">
        <w:rPr>
          <w:sz w:val="24"/>
          <w:szCs w:val="24"/>
        </w:rPr>
        <w:t xml:space="preserve">по состоянию на дату расчета общего операционного лимита </w:t>
      </w:r>
      <w:r w:rsidR="00300AE6">
        <w:rPr>
          <w:sz w:val="24"/>
          <w:szCs w:val="24"/>
        </w:rPr>
        <w:t>РГО</w:t>
      </w:r>
      <w:r w:rsidRPr="00236A9F">
        <w:rPr>
          <w:sz w:val="24"/>
          <w:szCs w:val="24"/>
        </w:rPr>
        <w:t xml:space="preserve">. </w:t>
      </w:r>
    </w:p>
    <w:p w:rsidR="00776EF9" w:rsidRDefault="00776EF9" w:rsidP="00776EF9">
      <w:pPr>
        <w:ind w:right="-29" w:firstLine="567"/>
        <w:jc w:val="both"/>
        <w:rPr>
          <w:sz w:val="24"/>
          <w:szCs w:val="24"/>
        </w:rPr>
      </w:pPr>
    </w:p>
    <w:p w:rsidR="00776EF9" w:rsidRPr="00D60DEF" w:rsidRDefault="00776EF9" w:rsidP="00776EF9">
      <w:pPr>
        <w:ind w:right="-29" w:firstLine="567"/>
        <w:jc w:val="both"/>
        <w:rPr>
          <w:sz w:val="24"/>
          <w:szCs w:val="24"/>
        </w:rPr>
      </w:pPr>
      <w:r w:rsidRPr="00D60DEF">
        <w:rPr>
          <w:sz w:val="24"/>
          <w:szCs w:val="24"/>
        </w:rPr>
        <w:t>В целях подсчета операционного лимита на вновь принятые условные обязательства на год</w:t>
      </w:r>
      <w:r w:rsidR="00DE73EC">
        <w:rPr>
          <w:sz w:val="24"/>
          <w:szCs w:val="24"/>
        </w:rPr>
        <w:t>,</w:t>
      </w:r>
      <w:r w:rsidRPr="00D60DEF">
        <w:rPr>
          <w:sz w:val="24"/>
          <w:szCs w:val="24"/>
        </w:rPr>
        <w:t xml:space="preserve">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Pr="00D60DEF">
        <w:rPr>
          <w:sz w:val="24"/>
          <w:szCs w:val="24"/>
        </w:rPr>
        <w:t>планирует показатели, установленные подпунктами</w:t>
      </w:r>
      <w:r>
        <w:rPr>
          <w:sz w:val="24"/>
          <w:szCs w:val="24"/>
        </w:rPr>
        <w:t xml:space="preserve"> </w:t>
      </w:r>
      <w:r w:rsidRPr="00D60DEF">
        <w:rPr>
          <w:sz w:val="24"/>
          <w:szCs w:val="24"/>
        </w:rPr>
        <w:t xml:space="preserve">1-5 пункта </w:t>
      </w:r>
      <w:r>
        <w:rPr>
          <w:sz w:val="24"/>
          <w:szCs w:val="24"/>
        </w:rPr>
        <w:t>4</w:t>
      </w:r>
      <w:r w:rsidRPr="00D60DEF">
        <w:rPr>
          <w:sz w:val="24"/>
          <w:szCs w:val="24"/>
        </w:rPr>
        <w:t>.1 настоящ</w:t>
      </w:r>
      <w:r>
        <w:rPr>
          <w:sz w:val="24"/>
          <w:szCs w:val="24"/>
        </w:rPr>
        <w:t>ей</w:t>
      </w:r>
      <w:r w:rsidRPr="00D60DEF">
        <w:rPr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 w:rsidRPr="00D60DEF">
        <w:rPr>
          <w:sz w:val="24"/>
          <w:szCs w:val="24"/>
        </w:rPr>
        <w:t xml:space="preserve"> таким образом, чтобы значение операционного лимита на вновь принятые условные обязательства на год принимало положительное значение.</w:t>
      </w:r>
    </w:p>
    <w:p w:rsidR="00776EF9" w:rsidRPr="00D60DEF" w:rsidRDefault="007757BF" w:rsidP="00776EF9">
      <w:pPr>
        <w:ind w:right="-29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6EF9" w:rsidRPr="00D60DEF">
        <w:rPr>
          <w:sz w:val="24"/>
          <w:szCs w:val="24"/>
        </w:rPr>
        <w:t>.3. Операционный лимит на вновь принятые условные обязательства</w:t>
      </w:r>
      <w:r w:rsidR="00776EF9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 xml:space="preserve">на определенный период устанавливается </w:t>
      </w:r>
      <w:r w:rsidR="00776EF9">
        <w:rPr>
          <w:sz w:val="24"/>
          <w:szCs w:val="24"/>
        </w:rPr>
        <w:t xml:space="preserve">Правлением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 xml:space="preserve">с учетом </w:t>
      </w:r>
      <w:proofErr w:type="spellStart"/>
      <w:r w:rsidR="00776EF9" w:rsidRPr="00D60DEF">
        <w:rPr>
          <w:sz w:val="24"/>
          <w:szCs w:val="24"/>
        </w:rPr>
        <w:t>непревышения</w:t>
      </w:r>
      <w:proofErr w:type="spellEnd"/>
      <w:r w:rsidR="00776EF9" w:rsidRPr="00D60DEF">
        <w:rPr>
          <w:sz w:val="24"/>
          <w:szCs w:val="24"/>
        </w:rPr>
        <w:t xml:space="preserve"> уровня ожидаемых выплат</w:t>
      </w:r>
      <w:r w:rsidR="00776EF9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>по поручительствам, предоставленным</w:t>
      </w:r>
      <w:r w:rsidR="00776EF9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 xml:space="preserve">в определенном периоде, над доходом, получаемым от деятельности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>за аналогичный период.</w:t>
      </w:r>
    </w:p>
    <w:p w:rsidR="00776EF9" w:rsidRPr="00DF213E" w:rsidRDefault="007757BF" w:rsidP="00776EF9">
      <w:pPr>
        <w:ind w:right="-29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6EF9">
        <w:rPr>
          <w:sz w:val="24"/>
          <w:szCs w:val="24"/>
        </w:rPr>
        <w:t>.4</w:t>
      </w:r>
      <w:r w:rsidR="00776EF9" w:rsidRPr="00D60DEF">
        <w:rPr>
          <w:sz w:val="24"/>
          <w:szCs w:val="24"/>
        </w:rPr>
        <w:t xml:space="preserve">. </w:t>
      </w:r>
      <w:r w:rsidR="00776EF9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 xml:space="preserve">Пересчет операционного лимита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>на вновь принятые условные обязательства на год в рамках установленного срока его действия</w:t>
      </w:r>
      <w:r w:rsidR="00DE73EC">
        <w:rPr>
          <w:sz w:val="24"/>
          <w:szCs w:val="24"/>
        </w:rPr>
        <w:t>,</w:t>
      </w:r>
      <w:r w:rsidR="00776EF9" w:rsidRPr="00D60DEF">
        <w:rPr>
          <w:sz w:val="24"/>
          <w:szCs w:val="24"/>
        </w:rPr>
        <w:t xml:space="preserve"> осуществляется при изменении базы расчета, уточнении фактических показателей доходов от размещения временно свободных средств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="00776EF9" w:rsidRPr="00D60DEF">
        <w:rPr>
          <w:sz w:val="24"/>
          <w:szCs w:val="24"/>
        </w:rPr>
        <w:t xml:space="preserve">и вознаграждения за выданные </w:t>
      </w:r>
      <w:r w:rsidR="00776EF9" w:rsidRPr="00DF213E">
        <w:rPr>
          <w:sz w:val="24"/>
          <w:szCs w:val="24"/>
        </w:rPr>
        <w:t>поручительства, суммы операционных расходов, фактического уровня исполнения обязательств субъектами МСП</w:t>
      </w:r>
      <w:r w:rsidR="00C23A06" w:rsidRPr="00DF213E">
        <w:rPr>
          <w:sz w:val="24"/>
          <w:szCs w:val="24"/>
        </w:rPr>
        <w:t>, а также физическ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лиц, применяющ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="00776EF9" w:rsidRPr="00DF213E">
        <w:rPr>
          <w:sz w:val="24"/>
          <w:szCs w:val="24"/>
        </w:rPr>
        <w:t xml:space="preserve"> по поручительствам, предоставленным в следующем финансовом году или иных экономических факторов, оказывающих или способных оказать в будущем влияние на деятельность </w:t>
      </w:r>
      <w:r w:rsidR="00300AE6">
        <w:rPr>
          <w:sz w:val="24"/>
          <w:szCs w:val="24"/>
        </w:rPr>
        <w:t>РГО</w:t>
      </w:r>
      <w:r w:rsidR="00776EF9" w:rsidRPr="00DF213E">
        <w:rPr>
          <w:sz w:val="24"/>
          <w:szCs w:val="24"/>
        </w:rPr>
        <w:t xml:space="preserve">. </w:t>
      </w:r>
    </w:p>
    <w:p w:rsidR="00776EF9" w:rsidRPr="00DF213E" w:rsidRDefault="00776EF9" w:rsidP="00776EF9">
      <w:pPr>
        <w:ind w:right="-29" w:firstLine="567"/>
        <w:jc w:val="both"/>
        <w:rPr>
          <w:sz w:val="24"/>
          <w:szCs w:val="24"/>
        </w:rPr>
      </w:pPr>
    </w:p>
    <w:p w:rsidR="006911DD" w:rsidRPr="00DF213E" w:rsidRDefault="00E358BF" w:rsidP="007757BF">
      <w:pPr>
        <w:pStyle w:val="a4"/>
        <w:numPr>
          <w:ilvl w:val="0"/>
          <w:numId w:val="22"/>
        </w:numPr>
        <w:ind w:right="-29"/>
        <w:jc w:val="center"/>
        <w:rPr>
          <w:b/>
          <w:bCs/>
          <w:sz w:val="24"/>
          <w:szCs w:val="24"/>
        </w:rPr>
      </w:pPr>
      <w:r w:rsidRPr="00DF213E">
        <w:rPr>
          <w:b/>
          <w:bCs/>
          <w:sz w:val="24"/>
          <w:szCs w:val="24"/>
        </w:rPr>
        <w:t>О</w:t>
      </w:r>
      <w:r w:rsidR="006911DD" w:rsidRPr="00DF213E">
        <w:rPr>
          <w:b/>
          <w:bCs/>
          <w:sz w:val="24"/>
          <w:szCs w:val="24"/>
        </w:rPr>
        <w:t>бщ</w:t>
      </w:r>
      <w:r w:rsidRPr="00DF213E">
        <w:rPr>
          <w:b/>
          <w:bCs/>
          <w:sz w:val="24"/>
          <w:szCs w:val="24"/>
        </w:rPr>
        <w:t>ий</w:t>
      </w:r>
      <w:r w:rsidR="006911DD" w:rsidRPr="00DF213E">
        <w:rPr>
          <w:b/>
          <w:bCs/>
          <w:sz w:val="24"/>
          <w:szCs w:val="24"/>
        </w:rPr>
        <w:t xml:space="preserve"> </w:t>
      </w:r>
      <w:r w:rsidR="00E0291E" w:rsidRPr="00DF213E">
        <w:rPr>
          <w:b/>
          <w:bCs/>
          <w:sz w:val="24"/>
          <w:szCs w:val="24"/>
        </w:rPr>
        <w:t>операционн</w:t>
      </w:r>
      <w:r w:rsidRPr="00DF213E">
        <w:rPr>
          <w:b/>
          <w:bCs/>
          <w:sz w:val="24"/>
          <w:szCs w:val="24"/>
        </w:rPr>
        <w:t>ый</w:t>
      </w:r>
      <w:r w:rsidR="00E0291E" w:rsidRPr="00DF213E">
        <w:rPr>
          <w:b/>
          <w:bCs/>
          <w:sz w:val="24"/>
          <w:szCs w:val="24"/>
        </w:rPr>
        <w:t xml:space="preserve"> </w:t>
      </w:r>
      <w:r w:rsidR="006911DD" w:rsidRPr="00DF213E">
        <w:rPr>
          <w:b/>
          <w:bCs/>
          <w:sz w:val="24"/>
          <w:szCs w:val="24"/>
        </w:rPr>
        <w:t xml:space="preserve">лимит </w:t>
      </w:r>
      <w:r w:rsidR="00EC50E5" w:rsidRPr="00DF213E">
        <w:rPr>
          <w:b/>
          <w:bCs/>
          <w:sz w:val="24"/>
          <w:szCs w:val="24"/>
        </w:rPr>
        <w:t xml:space="preserve">условных обязательств кредитного характера </w:t>
      </w:r>
    </w:p>
    <w:p w:rsidR="008F03BA" w:rsidRPr="00DF213E" w:rsidRDefault="008F03BA" w:rsidP="00901D8B">
      <w:pPr>
        <w:pStyle w:val="a4"/>
        <w:ind w:right="-29" w:firstLine="567"/>
        <w:rPr>
          <w:b/>
          <w:bCs/>
          <w:sz w:val="24"/>
          <w:szCs w:val="24"/>
        </w:rPr>
      </w:pPr>
    </w:p>
    <w:p w:rsidR="00015D40" w:rsidRPr="00DF213E" w:rsidRDefault="007757BF" w:rsidP="00901D8B">
      <w:pPr>
        <w:pStyle w:val="a6"/>
        <w:tabs>
          <w:tab w:val="left" w:pos="1276"/>
        </w:tabs>
        <w:spacing w:after="0"/>
        <w:ind w:right="-29" w:firstLine="567"/>
        <w:jc w:val="both"/>
      </w:pPr>
      <w:r w:rsidRPr="00DF213E">
        <w:t>5</w:t>
      </w:r>
      <w:r w:rsidR="00FF3CB5" w:rsidRPr="00DF213E">
        <w:t xml:space="preserve">.1. </w:t>
      </w:r>
      <w:r w:rsidR="00015D40" w:rsidRPr="00DF213E">
        <w:t xml:space="preserve"> Под общим операционным лимитом условных обязательств понимается сумма  портфел</w:t>
      </w:r>
      <w:r w:rsidR="002A1D07" w:rsidRPr="00DF213E">
        <w:t>я</w:t>
      </w:r>
      <w:r w:rsidR="00015D40" w:rsidRPr="00DF213E">
        <w:t xml:space="preserve"> действующих поручительств и операционного лимита на вновь принятые условные обязательства на год, то есть максимальный объем поручительств, которые могут быть предоставлены </w:t>
      </w:r>
      <w:r w:rsidR="00300AE6">
        <w:t>РГО</w:t>
      </w:r>
      <w:r w:rsidR="00300AE6" w:rsidRPr="00DF213E">
        <w:t xml:space="preserve"> </w:t>
      </w:r>
      <w:r w:rsidR="00015D40" w:rsidRPr="00DF213E">
        <w:t>в обеспечение обязательств субъектов МСП</w:t>
      </w:r>
      <w:r w:rsidR="00C23A06" w:rsidRPr="00DF213E">
        <w:t>, а также физическ</w:t>
      </w:r>
      <w:r w:rsidR="00442774" w:rsidRPr="00DF213E">
        <w:t>их</w:t>
      </w:r>
      <w:r w:rsidR="00C23A06" w:rsidRPr="00DF213E">
        <w:t xml:space="preserve"> лиц, применяющ</w:t>
      </w:r>
      <w:r w:rsidR="00442774" w:rsidRPr="00DF213E">
        <w:t>их</w:t>
      </w:r>
      <w:r w:rsidR="00C23A06" w:rsidRPr="00DF213E">
        <w:t xml:space="preserve"> специальный налоговый режим «Налог на профессиональный доход»</w:t>
      </w:r>
      <w:r w:rsidR="00015D40" w:rsidRPr="00DF213E">
        <w:t xml:space="preserve"> по договорам с финансовыми организациями.</w:t>
      </w:r>
    </w:p>
    <w:p w:rsidR="00FF3CB5" w:rsidRPr="00DF213E" w:rsidRDefault="007757BF" w:rsidP="00901D8B">
      <w:pPr>
        <w:pStyle w:val="a6"/>
        <w:tabs>
          <w:tab w:val="left" w:pos="1276"/>
        </w:tabs>
        <w:spacing w:after="0"/>
        <w:ind w:right="-29" w:firstLine="567"/>
        <w:jc w:val="both"/>
      </w:pPr>
      <w:r w:rsidRPr="00DF213E">
        <w:t>5</w:t>
      </w:r>
      <w:r w:rsidR="00015D40" w:rsidRPr="00DF213E">
        <w:t xml:space="preserve">.2. </w:t>
      </w:r>
      <w:r w:rsidR="00FF3CB5" w:rsidRPr="00DF213E">
        <w:t>Порядок расчета общего</w:t>
      </w:r>
      <w:r w:rsidR="00CD4525" w:rsidRPr="00DF213E">
        <w:t xml:space="preserve"> операционного</w:t>
      </w:r>
      <w:r w:rsidR="00FF3CB5" w:rsidRPr="00DF213E">
        <w:t xml:space="preserve"> лимита </w:t>
      </w:r>
      <w:r w:rsidR="00236A9F" w:rsidRPr="00DF213E">
        <w:t>условных обязательств</w:t>
      </w:r>
      <w:r w:rsidR="00FF3CB5" w:rsidRPr="00DF213E">
        <w:t xml:space="preserve"> </w:t>
      </w:r>
      <w:r w:rsidR="00300AE6">
        <w:t>РГО</w:t>
      </w:r>
      <w:r w:rsidR="00300AE6" w:rsidRPr="00DF213E">
        <w:t xml:space="preserve"> </w:t>
      </w:r>
      <w:r w:rsidR="00FF3CB5" w:rsidRPr="00DF213E">
        <w:t xml:space="preserve">основывается на соблюдении принципа сохранности и целевого использования денежных средств, поступивших из бюджетов всех уровней. </w:t>
      </w:r>
    </w:p>
    <w:p w:rsidR="00FF3CB5" w:rsidRDefault="007757BF" w:rsidP="00901D8B">
      <w:pPr>
        <w:pStyle w:val="a6"/>
        <w:tabs>
          <w:tab w:val="left" w:pos="1276"/>
        </w:tabs>
        <w:spacing w:after="0"/>
        <w:ind w:right="-29" w:firstLine="567"/>
        <w:jc w:val="both"/>
      </w:pPr>
      <w:r w:rsidRPr="00DF213E">
        <w:t>5</w:t>
      </w:r>
      <w:r w:rsidR="00FF3CB5" w:rsidRPr="00DF213E">
        <w:t>.</w:t>
      </w:r>
      <w:r w:rsidR="00015D40" w:rsidRPr="00DF213E">
        <w:t>3</w:t>
      </w:r>
      <w:r w:rsidR="00FF3CB5" w:rsidRPr="00DF213E">
        <w:t xml:space="preserve">. Расчет </w:t>
      </w:r>
      <w:r w:rsidR="00236A9F" w:rsidRPr="00DF213E">
        <w:t>общего операционного</w:t>
      </w:r>
      <w:r w:rsidR="00236A9F" w:rsidRPr="00236A9F">
        <w:t xml:space="preserve"> лимита условных обязательств </w:t>
      </w:r>
      <w:r w:rsidR="00300AE6">
        <w:t>РГО</w:t>
      </w:r>
      <w:r w:rsidR="00300AE6" w:rsidRPr="008F03BA">
        <w:t xml:space="preserve"> </w:t>
      </w:r>
      <w:r w:rsidR="00FF3CB5" w:rsidRPr="008F03BA">
        <w:t>осуществляется на один финансовый год. В течени</w:t>
      </w:r>
      <w:r w:rsidR="00C06328">
        <w:t>и</w:t>
      </w:r>
      <w:r w:rsidR="00FF3CB5" w:rsidRPr="008F03BA">
        <w:t xml:space="preserve"> финансового года общий</w:t>
      </w:r>
      <w:r w:rsidR="00236A9F">
        <w:t xml:space="preserve"> операционный</w:t>
      </w:r>
      <w:r w:rsidR="00FF3CB5" w:rsidRPr="008F03BA">
        <w:t xml:space="preserve"> лимит </w:t>
      </w:r>
      <w:r w:rsidR="00236A9F">
        <w:t>условных обязательств</w:t>
      </w:r>
      <w:r w:rsidR="00FF3CB5" w:rsidRPr="008F03BA">
        <w:t xml:space="preserve"> </w:t>
      </w:r>
      <w:r w:rsidR="00300AE6">
        <w:t>РГО</w:t>
      </w:r>
      <w:r w:rsidR="00300AE6" w:rsidRPr="008F03BA">
        <w:t xml:space="preserve"> </w:t>
      </w:r>
      <w:r w:rsidR="00FF3CB5" w:rsidRPr="008F03BA">
        <w:t>может быть пересчитан неограниченное число раз по причинам</w:t>
      </w:r>
      <w:r w:rsidR="00C06328">
        <w:t>,</w:t>
      </w:r>
      <w:r w:rsidR="00FF3CB5" w:rsidRPr="008F03BA">
        <w:t xml:space="preserve"> указанным </w:t>
      </w:r>
      <w:r w:rsidR="00300AE6">
        <w:br/>
      </w:r>
      <w:r w:rsidR="00FF3CB5" w:rsidRPr="008F03BA">
        <w:t xml:space="preserve">в п. </w:t>
      </w:r>
      <w:r w:rsidR="00C665AC">
        <w:t>5</w:t>
      </w:r>
      <w:r w:rsidR="00FF3CB5" w:rsidRPr="008F03BA">
        <w:t>.5 настоящей Политики.</w:t>
      </w:r>
    </w:p>
    <w:p w:rsidR="006911DD" w:rsidRPr="00540DCB" w:rsidRDefault="007757BF" w:rsidP="00901D8B">
      <w:pPr>
        <w:pStyle w:val="a6"/>
        <w:tabs>
          <w:tab w:val="left" w:pos="1276"/>
        </w:tabs>
        <w:spacing w:after="0"/>
        <w:ind w:right="-29" w:firstLine="567"/>
        <w:jc w:val="both"/>
      </w:pPr>
      <w:r>
        <w:t>5</w:t>
      </w:r>
      <w:r w:rsidR="00FF3CB5" w:rsidRPr="008F03BA">
        <w:t>.4.</w:t>
      </w:r>
      <w:r w:rsidR="00261A0A">
        <w:t xml:space="preserve"> </w:t>
      </w:r>
      <w:r w:rsidR="006911DD" w:rsidRPr="00540DCB">
        <w:t xml:space="preserve">Общий </w:t>
      </w:r>
      <w:r w:rsidR="00015D40" w:rsidRPr="00540DCB">
        <w:t xml:space="preserve">операционный </w:t>
      </w:r>
      <w:r w:rsidR="006911DD" w:rsidRPr="00540DCB">
        <w:t xml:space="preserve">лимит поручительств </w:t>
      </w:r>
      <w:r w:rsidR="00300AE6">
        <w:t>РГО</w:t>
      </w:r>
      <w:r w:rsidR="00300AE6" w:rsidRPr="00540DCB">
        <w:t xml:space="preserve"> </w:t>
      </w:r>
      <w:r w:rsidR="006911DD" w:rsidRPr="00540DCB">
        <w:t>рассчитывается по следующей формуле:</w:t>
      </w:r>
    </w:p>
    <w:p w:rsidR="006911DD" w:rsidRPr="00540DCB" w:rsidRDefault="006911DD" w:rsidP="00901D8B">
      <w:pPr>
        <w:pStyle w:val="a6"/>
        <w:tabs>
          <w:tab w:val="left" w:pos="1418"/>
        </w:tabs>
        <w:spacing w:after="0"/>
        <w:ind w:right="-29" w:firstLine="567"/>
        <w:jc w:val="both"/>
      </w:pPr>
      <w:r w:rsidRPr="00540DCB">
        <w:tab/>
      </w:r>
      <w:r w:rsidRPr="00540DCB">
        <w:rPr>
          <w:b/>
          <w:bCs/>
        </w:rPr>
        <w:t>Л</w:t>
      </w:r>
      <w:r w:rsidR="00236A9F" w:rsidRPr="00540DCB">
        <w:rPr>
          <w:b/>
          <w:bCs/>
        </w:rPr>
        <w:t>О</w:t>
      </w:r>
      <w:r w:rsidRPr="00540DCB">
        <w:rPr>
          <w:b/>
          <w:bCs/>
        </w:rPr>
        <w:t xml:space="preserve"> =</w:t>
      </w:r>
      <w:r w:rsidR="001C3A87" w:rsidRPr="00540DCB">
        <w:rPr>
          <w:b/>
          <w:bCs/>
        </w:rPr>
        <w:t xml:space="preserve"> </w:t>
      </w:r>
      <w:r w:rsidR="00E9792C" w:rsidRPr="00540DCB">
        <w:rPr>
          <w:b/>
          <w:bCs/>
        </w:rPr>
        <w:t>Л + ЛП</w:t>
      </w:r>
      <w:r w:rsidRPr="00540DCB">
        <w:rPr>
          <w:b/>
          <w:bCs/>
        </w:rPr>
        <w:t>,</w:t>
      </w:r>
      <w:r w:rsidRPr="00540DCB">
        <w:t xml:space="preserve"> где:</w:t>
      </w:r>
    </w:p>
    <w:p w:rsidR="006911DD" w:rsidRPr="00540DCB" w:rsidRDefault="006911DD" w:rsidP="00901D8B">
      <w:pPr>
        <w:pStyle w:val="a6"/>
        <w:tabs>
          <w:tab w:val="left" w:pos="1418"/>
        </w:tabs>
        <w:spacing w:after="0"/>
        <w:ind w:right="-29" w:firstLine="567"/>
        <w:jc w:val="both"/>
        <w:rPr>
          <w:b/>
          <w:bCs/>
        </w:rPr>
      </w:pPr>
      <w:r w:rsidRPr="00540DCB">
        <w:rPr>
          <w:b/>
          <w:bCs/>
        </w:rPr>
        <w:t xml:space="preserve">                                        </w:t>
      </w:r>
    </w:p>
    <w:p w:rsidR="006911DD" w:rsidRPr="00540DCB" w:rsidRDefault="006911DD" w:rsidP="00540DCB">
      <w:pPr>
        <w:pStyle w:val="a6"/>
        <w:tabs>
          <w:tab w:val="left" w:pos="1418"/>
        </w:tabs>
        <w:spacing w:after="0"/>
        <w:ind w:right="-28" w:firstLine="567"/>
        <w:jc w:val="both"/>
        <w:rPr>
          <w:b/>
          <w:bCs/>
        </w:rPr>
      </w:pPr>
      <w:r w:rsidRPr="00540DCB">
        <w:rPr>
          <w:b/>
          <w:bCs/>
        </w:rPr>
        <w:t>Л</w:t>
      </w:r>
      <w:r w:rsidR="00236A9F" w:rsidRPr="00540DCB">
        <w:rPr>
          <w:b/>
          <w:bCs/>
        </w:rPr>
        <w:t>О</w:t>
      </w:r>
      <w:r w:rsidRPr="00540DCB">
        <w:rPr>
          <w:b/>
          <w:bCs/>
        </w:rPr>
        <w:t xml:space="preserve"> </w:t>
      </w:r>
      <w:r w:rsidR="00236A9F" w:rsidRPr="00540DCB">
        <w:rPr>
          <w:b/>
          <w:bCs/>
        </w:rPr>
        <w:t>–</w:t>
      </w:r>
      <w:r w:rsidRPr="00540DCB">
        <w:rPr>
          <w:b/>
          <w:bCs/>
        </w:rPr>
        <w:t xml:space="preserve"> </w:t>
      </w:r>
      <w:r w:rsidRPr="00540DCB">
        <w:t>общий</w:t>
      </w:r>
      <w:r w:rsidR="00236A9F" w:rsidRPr="00540DCB">
        <w:t xml:space="preserve"> операционный</w:t>
      </w:r>
      <w:r w:rsidRPr="00540DCB">
        <w:t xml:space="preserve"> лимит </w:t>
      </w:r>
      <w:r w:rsidR="00E9792C" w:rsidRPr="00540DCB">
        <w:t>условных обязательств</w:t>
      </w:r>
      <w:r w:rsidRPr="00540DCB">
        <w:t xml:space="preserve"> </w:t>
      </w:r>
      <w:r w:rsidR="00300AE6">
        <w:t>РГО</w:t>
      </w:r>
      <w:r w:rsidR="00300AE6" w:rsidRPr="00540DCB">
        <w:t xml:space="preserve"> </w:t>
      </w:r>
      <w:r w:rsidR="00540DCB" w:rsidRPr="00540DCB">
        <w:t>в рублях</w:t>
      </w:r>
      <w:r w:rsidRPr="00540DCB">
        <w:t>;</w:t>
      </w:r>
    </w:p>
    <w:p w:rsidR="00E9792C" w:rsidRPr="00540DCB" w:rsidRDefault="00E9792C" w:rsidP="00540DCB">
      <w:pPr>
        <w:pStyle w:val="a6"/>
        <w:tabs>
          <w:tab w:val="left" w:pos="1418"/>
        </w:tabs>
        <w:spacing w:after="0"/>
        <w:ind w:right="-28" w:firstLine="567"/>
        <w:jc w:val="both"/>
      </w:pPr>
      <w:r w:rsidRPr="00540DCB">
        <w:rPr>
          <w:b/>
        </w:rPr>
        <w:t xml:space="preserve">Л – </w:t>
      </w:r>
      <w:r w:rsidRPr="00540DCB">
        <w:t>операционный лимит на вновь принятые условные обязательства</w:t>
      </w:r>
      <w:r w:rsidR="00540DCB" w:rsidRPr="00540DCB">
        <w:t xml:space="preserve"> </w:t>
      </w:r>
      <w:r w:rsidR="00300AE6">
        <w:t>РГО</w:t>
      </w:r>
      <w:r w:rsidR="00300AE6" w:rsidRPr="00540DCB">
        <w:t xml:space="preserve"> </w:t>
      </w:r>
      <w:r w:rsidR="00540DCB" w:rsidRPr="00540DCB">
        <w:t>в рублях</w:t>
      </w:r>
    </w:p>
    <w:p w:rsidR="00E9792C" w:rsidRPr="00540DCB" w:rsidRDefault="00540DCB" w:rsidP="00540DCB">
      <w:pPr>
        <w:pStyle w:val="a6"/>
        <w:tabs>
          <w:tab w:val="left" w:pos="1418"/>
        </w:tabs>
        <w:spacing w:after="0"/>
        <w:ind w:right="-28" w:firstLine="567"/>
        <w:jc w:val="both"/>
        <w:rPr>
          <w:highlight w:val="yellow"/>
        </w:rPr>
      </w:pPr>
      <w:r w:rsidRPr="00540DCB">
        <w:rPr>
          <w:b/>
        </w:rPr>
        <w:t xml:space="preserve">ЛП – </w:t>
      </w:r>
      <w:r w:rsidRPr="00540DCB">
        <w:t>лимит на</w:t>
      </w:r>
      <w:r>
        <w:t xml:space="preserve"> портфель действующих поручительств</w:t>
      </w:r>
      <w:r w:rsidR="00E9792C" w:rsidRPr="00540DCB">
        <w:t xml:space="preserve"> в рублях</w:t>
      </w:r>
      <w:r w:rsidR="008B2BCF">
        <w:t xml:space="preserve"> (определяется не чаще 1 раза в квартал на первое число месяца следующего за отчетным кварталом на основе </w:t>
      </w:r>
      <w:proofErr w:type="gramStart"/>
      <w:r w:rsidR="008B2BCF">
        <w:t>данных</w:t>
      </w:r>
      <w:r w:rsidR="00B2518D">
        <w:t xml:space="preserve"> </w:t>
      </w:r>
      <w:r w:rsidR="008B2BCF">
        <w:t xml:space="preserve"> предоставленных</w:t>
      </w:r>
      <w:proofErr w:type="gramEnd"/>
      <w:r w:rsidR="008B2BCF">
        <w:t xml:space="preserve"> Партнерами </w:t>
      </w:r>
      <w:r w:rsidR="00300AE6">
        <w:t>РГО</w:t>
      </w:r>
      <w:r w:rsidR="008B2BCF">
        <w:t>)</w:t>
      </w:r>
      <w:r w:rsidR="00E9792C" w:rsidRPr="00540DCB">
        <w:t>;</w:t>
      </w:r>
    </w:p>
    <w:p w:rsidR="00E9792C" w:rsidRDefault="00E9792C" w:rsidP="00540DCB">
      <w:pPr>
        <w:pStyle w:val="a6"/>
        <w:tabs>
          <w:tab w:val="left" w:pos="1418"/>
        </w:tabs>
        <w:spacing w:after="0"/>
        <w:ind w:right="-28" w:firstLine="567"/>
        <w:jc w:val="both"/>
        <w:rPr>
          <w:b/>
          <w:highlight w:val="yellow"/>
        </w:rPr>
      </w:pPr>
    </w:p>
    <w:p w:rsidR="00587398" w:rsidRPr="008F03BA" w:rsidRDefault="00260568" w:rsidP="00C665AC">
      <w:pPr>
        <w:pStyle w:val="a6"/>
        <w:numPr>
          <w:ilvl w:val="1"/>
          <w:numId w:val="23"/>
        </w:numPr>
        <w:tabs>
          <w:tab w:val="left" w:pos="1276"/>
        </w:tabs>
        <w:spacing w:after="0"/>
        <w:ind w:left="0" w:right="-29" w:firstLine="567"/>
        <w:jc w:val="both"/>
      </w:pPr>
      <w:r>
        <w:t>Общий о</w:t>
      </w:r>
      <w:r w:rsidRPr="00260568">
        <w:t>перационный лимит условны</w:t>
      </w:r>
      <w:r>
        <w:t>х</w:t>
      </w:r>
      <w:r w:rsidRPr="00260568">
        <w:t xml:space="preserve"> обязательств на определенный период устанавливается Правлением </w:t>
      </w:r>
      <w:r w:rsidR="00300AE6">
        <w:t>РГО</w:t>
      </w:r>
      <w:r>
        <w:t>.</w:t>
      </w:r>
      <w:r w:rsidRPr="00260568">
        <w:t xml:space="preserve"> </w:t>
      </w:r>
      <w:r w:rsidR="006911DD" w:rsidRPr="008F03BA">
        <w:t>Пересчет общего</w:t>
      </w:r>
      <w:r w:rsidR="00BF2B71">
        <w:t xml:space="preserve"> операционного</w:t>
      </w:r>
      <w:r w:rsidR="006911DD" w:rsidRPr="008F03BA">
        <w:t xml:space="preserve"> лимита поручительств </w:t>
      </w:r>
      <w:r w:rsidR="00300AE6">
        <w:t>РГО</w:t>
      </w:r>
      <w:r w:rsidR="00300AE6" w:rsidRPr="008F03BA">
        <w:t xml:space="preserve"> </w:t>
      </w:r>
      <w:r w:rsidR="00587398" w:rsidRPr="008F03BA">
        <w:t xml:space="preserve">в рамках установленного </w:t>
      </w:r>
      <w:r w:rsidR="00CE174C" w:rsidRPr="008F03BA">
        <w:t>срока</w:t>
      </w:r>
      <w:r w:rsidR="00587398" w:rsidRPr="008F03BA">
        <w:t xml:space="preserve"> его действия</w:t>
      </w:r>
      <w:r w:rsidR="006911DD" w:rsidRPr="008F03BA">
        <w:t xml:space="preserve"> осуществляется</w:t>
      </w:r>
      <w:r w:rsidR="00E358BF">
        <w:t xml:space="preserve"> при изменении базы расчета.</w:t>
      </w:r>
    </w:p>
    <w:p w:rsidR="004A5E8D" w:rsidRPr="00776EF9" w:rsidRDefault="004A5E8D" w:rsidP="00901D8B">
      <w:pPr>
        <w:ind w:right="-29" w:firstLine="567"/>
        <w:jc w:val="both"/>
        <w:rPr>
          <w:b/>
          <w:sz w:val="24"/>
          <w:szCs w:val="24"/>
        </w:rPr>
      </w:pPr>
    </w:p>
    <w:p w:rsidR="00776EF9" w:rsidRPr="00776EF9" w:rsidRDefault="00087379" w:rsidP="00776EF9">
      <w:pPr>
        <w:ind w:right="-2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76EF9" w:rsidRPr="00776EF9">
        <w:rPr>
          <w:b/>
          <w:sz w:val="24"/>
          <w:szCs w:val="24"/>
        </w:rPr>
        <w:t>.</w:t>
      </w:r>
      <w:r w:rsidR="00776EF9" w:rsidRPr="00776EF9">
        <w:rPr>
          <w:b/>
          <w:sz w:val="24"/>
          <w:szCs w:val="24"/>
        </w:rPr>
        <w:tab/>
      </w:r>
      <w:r w:rsidR="00776EF9">
        <w:rPr>
          <w:b/>
          <w:sz w:val="24"/>
          <w:szCs w:val="24"/>
        </w:rPr>
        <w:t>Л</w:t>
      </w:r>
      <w:r w:rsidR="00776EF9" w:rsidRPr="00776EF9">
        <w:rPr>
          <w:b/>
          <w:sz w:val="24"/>
          <w:szCs w:val="24"/>
        </w:rPr>
        <w:t xml:space="preserve">имит условных обязательств </w:t>
      </w:r>
      <w:r w:rsidR="00776EF9">
        <w:rPr>
          <w:b/>
          <w:sz w:val="24"/>
          <w:szCs w:val="24"/>
        </w:rPr>
        <w:t>на финансовую организацию</w:t>
      </w:r>
      <w:r w:rsidR="00776EF9" w:rsidRPr="00776EF9">
        <w:rPr>
          <w:b/>
          <w:sz w:val="24"/>
          <w:szCs w:val="24"/>
        </w:rPr>
        <w:t xml:space="preserve"> </w:t>
      </w:r>
    </w:p>
    <w:p w:rsidR="00776EF9" w:rsidRDefault="00776EF9" w:rsidP="00D60DEF">
      <w:pPr>
        <w:ind w:right="-29" w:firstLine="567"/>
        <w:jc w:val="both"/>
        <w:rPr>
          <w:sz w:val="24"/>
          <w:szCs w:val="24"/>
        </w:rPr>
      </w:pPr>
    </w:p>
    <w:p w:rsidR="00D60DEF" w:rsidRPr="00D60DEF" w:rsidRDefault="00087379" w:rsidP="00D60DEF">
      <w:pPr>
        <w:ind w:right="-29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22074">
        <w:rPr>
          <w:sz w:val="24"/>
          <w:szCs w:val="24"/>
        </w:rPr>
        <w:t>.1</w:t>
      </w:r>
      <w:r w:rsidR="00D60DEF" w:rsidRPr="00D60DEF">
        <w:rPr>
          <w:sz w:val="24"/>
          <w:szCs w:val="24"/>
        </w:rPr>
        <w:t>. Лимит условных обязательств на финансовую организацию (совокупность финансовых организаций) устанавливается в целях ограничения объема возможных выплат по поручительствам, предоставленным финансовой организации (совокупности финансовых организаций).</w:t>
      </w:r>
    </w:p>
    <w:p w:rsidR="006671DA" w:rsidRDefault="00087379" w:rsidP="00122074">
      <w:pPr>
        <w:ind w:right="-29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60DEF" w:rsidRPr="00D60DEF">
        <w:rPr>
          <w:sz w:val="24"/>
          <w:szCs w:val="24"/>
        </w:rPr>
        <w:t>.</w:t>
      </w:r>
      <w:r w:rsidR="00122074">
        <w:rPr>
          <w:sz w:val="24"/>
          <w:szCs w:val="24"/>
        </w:rPr>
        <w:t>2</w:t>
      </w:r>
      <w:r w:rsidR="00D60DEF" w:rsidRPr="00D60DEF">
        <w:rPr>
          <w:sz w:val="24"/>
          <w:szCs w:val="24"/>
        </w:rPr>
        <w:t xml:space="preserve">. </w:t>
      </w:r>
      <w:r w:rsidR="006671DA" w:rsidRPr="006671DA">
        <w:rPr>
          <w:sz w:val="24"/>
          <w:szCs w:val="24"/>
        </w:rPr>
        <w:t>При заключении Соглашения о порядке сотрудничества по программе предоставления поручительств, Партнеру устанавливается первоначальный лимит, указанн</w:t>
      </w:r>
      <w:r w:rsidR="00F54943">
        <w:rPr>
          <w:sz w:val="24"/>
          <w:szCs w:val="24"/>
        </w:rPr>
        <w:t>ы</w:t>
      </w:r>
      <w:r w:rsidR="006671DA" w:rsidRPr="006671DA">
        <w:rPr>
          <w:sz w:val="24"/>
          <w:szCs w:val="24"/>
        </w:rPr>
        <w:t xml:space="preserve">й им в Анкете организации, претендующей на принятие в состав партнеров некоммерческой организации «Фонд поддержки предпринимательства Орловской области», но не более </w:t>
      </w:r>
      <w:r w:rsidR="00B87E43">
        <w:rPr>
          <w:sz w:val="24"/>
          <w:szCs w:val="24"/>
        </w:rPr>
        <w:t>5</w:t>
      </w:r>
      <w:r w:rsidR="006671DA" w:rsidRPr="006671DA">
        <w:rPr>
          <w:sz w:val="24"/>
          <w:szCs w:val="24"/>
        </w:rPr>
        <w:t xml:space="preserve">0 000 000 рублей. При этом сумма лимита не должна превышать </w:t>
      </w:r>
      <w:r w:rsidR="00B87E43">
        <w:rPr>
          <w:sz w:val="24"/>
          <w:szCs w:val="24"/>
        </w:rPr>
        <w:t>40</w:t>
      </w:r>
      <w:r w:rsidR="006671DA" w:rsidRPr="006671DA">
        <w:rPr>
          <w:sz w:val="24"/>
          <w:szCs w:val="24"/>
        </w:rPr>
        <w:t xml:space="preserve">% </w:t>
      </w:r>
      <w:r w:rsidR="001D2991" w:rsidRPr="001D2991">
        <w:rPr>
          <w:sz w:val="24"/>
          <w:szCs w:val="24"/>
        </w:rPr>
        <w:t>от общего операционного лимита условных обязательств.</w:t>
      </w:r>
    </w:p>
    <w:p w:rsidR="00D60DEF" w:rsidRDefault="00087379" w:rsidP="00122074">
      <w:pPr>
        <w:ind w:right="-29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71DA">
        <w:rPr>
          <w:sz w:val="24"/>
          <w:szCs w:val="24"/>
        </w:rPr>
        <w:t xml:space="preserve">.3. </w:t>
      </w:r>
      <w:r w:rsidR="00D60DEF" w:rsidRPr="00D60DEF">
        <w:rPr>
          <w:sz w:val="24"/>
          <w:szCs w:val="24"/>
        </w:rPr>
        <w:t xml:space="preserve">Лимит условных обязательств на финансовую организацию устанавливается </w:t>
      </w:r>
      <w:r w:rsidR="00122074">
        <w:rPr>
          <w:sz w:val="24"/>
          <w:szCs w:val="24"/>
        </w:rPr>
        <w:t xml:space="preserve">Правлением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="00D60DEF" w:rsidRPr="00D60DEF">
        <w:rPr>
          <w:sz w:val="24"/>
          <w:szCs w:val="24"/>
        </w:rPr>
        <w:t>на 1 (первое) число текущего финансового года и не должен превышать</w:t>
      </w:r>
      <w:r w:rsidR="00122074">
        <w:rPr>
          <w:sz w:val="24"/>
          <w:szCs w:val="24"/>
        </w:rPr>
        <w:t xml:space="preserve"> </w:t>
      </w:r>
      <w:r w:rsidR="00D60DEF" w:rsidRPr="00D60DEF">
        <w:rPr>
          <w:sz w:val="24"/>
          <w:szCs w:val="24"/>
        </w:rPr>
        <w:t>40% от общего операционного лимита условных обязательств</w:t>
      </w:r>
      <w:r w:rsidR="00122074">
        <w:rPr>
          <w:sz w:val="24"/>
          <w:szCs w:val="24"/>
        </w:rPr>
        <w:t>.</w:t>
      </w:r>
    </w:p>
    <w:p w:rsidR="00D60DEF" w:rsidRPr="00D60DEF" w:rsidRDefault="00087379" w:rsidP="00D60DEF">
      <w:pPr>
        <w:ind w:right="-29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0DEF" w:rsidRPr="00D60DEF">
        <w:rPr>
          <w:sz w:val="24"/>
          <w:szCs w:val="24"/>
        </w:rPr>
        <w:t>.</w:t>
      </w:r>
      <w:r w:rsidR="008E66BF">
        <w:rPr>
          <w:sz w:val="24"/>
          <w:szCs w:val="24"/>
        </w:rPr>
        <w:t>4</w:t>
      </w:r>
      <w:r w:rsidR="00D60DEF" w:rsidRPr="00D60DEF">
        <w:rPr>
          <w:sz w:val="24"/>
          <w:szCs w:val="24"/>
        </w:rPr>
        <w:t xml:space="preserve">. Изменение лимитов условных обязательств на финансовую организацию осуществляется </w:t>
      </w:r>
      <w:r w:rsidR="00122074">
        <w:rPr>
          <w:sz w:val="24"/>
          <w:szCs w:val="24"/>
        </w:rPr>
        <w:t xml:space="preserve">Правлением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="00D60DEF" w:rsidRPr="00D60DEF">
        <w:rPr>
          <w:sz w:val="24"/>
          <w:szCs w:val="24"/>
        </w:rPr>
        <w:t>в следующих случаях:</w:t>
      </w:r>
    </w:p>
    <w:p w:rsidR="00D60DEF" w:rsidRPr="00D60DEF" w:rsidRDefault="00D60DEF" w:rsidP="00D60DEF">
      <w:pPr>
        <w:ind w:right="-29" w:firstLine="567"/>
        <w:jc w:val="both"/>
        <w:rPr>
          <w:sz w:val="24"/>
          <w:szCs w:val="24"/>
        </w:rPr>
      </w:pPr>
      <w:r w:rsidRPr="00D60DEF">
        <w:rPr>
          <w:sz w:val="24"/>
          <w:szCs w:val="24"/>
        </w:rPr>
        <w:t>1) пересчета операционного лимита на вновь принятые условные обязательства на год;</w:t>
      </w:r>
    </w:p>
    <w:p w:rsidR="00D60DEF" w:rsidRPr="00D60DEF" w:rsidRDefault="00D60DEF" w:rsidP="00D60DEF">
      <w:pPr>
        <w:ind w:right="-29" w:firstLine="567"/>
        <w:jc w:val="both"/>
        <w:rPr>
          <w:sz w:val="24"/>
          <w:szCs w:val="24"/>
        </w:rPr>
      </w:pPr>
      <w:r w:rsidRPr="00D60DEF">
        <w:rPr>
          <w:sz w:val="24"/>
          <w:szCs w:val="24"/>
        </w:rPr>
        <w:t>2) использования установленного лимита условных обязательств</w:t>
      </w:r>
      <w:r w:rsidR="00122074">
        <w:rPr>
          <w:sz w:val="24"/>
          <w:szCs w:val="24"/>
        </w:rPr>
        <w:t xml:space="preserve"> </w:t>
      </w:r>
      <w:r w:rsidRPr="00D60DEF">
        <w:rPr>
          <w:sz w:val="24"/>
          <w:szCs w:val="24"/>
        </w:rPr>
        <w:t xml:space="preserve">на финансовую организацию в размере менее 50 % по итогам 2 (двух) кварталов текущего финансового года; </w:t>
      </w:r>
    </w:p>
    <w:p w:rsidR="00D60DEF" w:rsidRPr="00D60DEF" w:rsidRDefault="00D60DEF" w:rsidP="00D60DEF">
      <w:pPr>
        <w:ind w:right="-29" w:firstLine="567"/>
        <w:jc w:val="both"/>
        <w:rPr>
          <w:sz w:val="24"/>
          <w:szCs w:val="24"/>
        </w:rPr>
      </w:pPr>
      <w:r w:rsidRPr="00D60DEF">
        <w:rPr>
          <w:sz w:val="24"/>
          <w:szCs w:val="24"/>
        </w:rPr>
        <w:t>3) поступления заявления финансовой организации об изменении лимита;</w:t>
      </w:r>
    </w:p>
    <w:p w:rsidR="00D60DEF" w:rsidRPr="00D60DEF" w:rsidRDefault="00D60DEF" w:rsidP="00D60DEF">
      <w:pPr>
        <w:ind w:right="-29" w:firstLine="567"/>
        <w:jc w:val="both"/>
        <w:rPr>
          <w:sz w:val="24"/>
          <w:szCs w:val="24"/>
        </w:rPr>
      </w:pPr>
      <w:r w:rsidRPr="00D60DEF">
        <w:rPr>
          <w:sz w:val="24"/>
          <w:szCs w:val="24"/>
        </w:rPr>
        <w:t>4) использования установленного лимита условных обязательств</w:t>
      </w:r>
      <w:r w:rsidR="00122074">
        <w:rPr>
          <w:sz w:val="24"/>
          <w:szCs w:val="24"/>
        </w:rPr>
        <w:t xml:space="preserve"> </w:t>
      </w:r>
      <w:r w:rsidRPr="00D60DEF">
        <w:rPr>
          <w:sz w:val="24"/>
          <w:szCs w:val="24"/>
        </w:rPr>
        <w:t xml:space="preserve">на финансовую организацию в размере 80 % в текущем финансовом году; </w:t>
      </w:r>
    </w:p>
    <w:p w:rsidR="00D60DEF" w:rsidRPr="00D60DEF" w:rsidRDefault="00D60DEF" w:rsidP="00D60DEF">
      <w:pPr>
        <w:ind w:right="-29" w:firstLine="567"/>
        <w:jc w:val="both"/>
        <w:rPr>
          <w:sz w:val="24"/>
          <w:szCs w:val="24"/>
        </w:rPr>
      </w:pPr>
      <w:r w:rsidRPr="00D60DEF">
        <w:rPr>
          <w:sz w:val="24"/>
          <w:szCs w:val="24"/>
        </w:rPr>
        <w:t xml:space="preserve">5) превышения финансовой организацией допустимых размеров убытков в портфеле </w:t>
      </w:r>
      <w:r w:rsidR="00300AE6">
        <w:rPr>
          <w:sz w:val="24"/>
          <w:szCs w:val="24"/>
        </w:rPr>
        <w:t>РГО</w:t>
      </w:r>
      <w:r w:rsidRPr="00D60DEF">
        <w:rPr>
          <w:sz w:val="24"/>
          <w:szCs w:val="24"/>
        </w:rPr>
        <w:t xml:space="preserve">. Допустимый размер убытков в отношении отдельной финансовой организации </w:t>
      </w:r>
      <w:r w:rsidR="00300AE6">
        <w:rPr>
          <w:sz w:val="24"/>
          <w:szCs w:val="24"/>
        </w:rPr>
        <w:t>РГО</w:t>
      </w:r>
      <w:r w:rsidR="00300AE6" w:rsidRPr="00D60DEF">
        <w:rPr>
          <w:sz w:val="24"/>
          <w:szCs w:val="24"/>
        </w:rPr>
        <w:t xml:space="preserve"> </w:t>
      </w:r>
      <w:r w:rsidRPr="00D60DEF">
        <w:rPr>
          <w:sz w:val="24"/>
          <w:szCs w:val="24"/>
        </w:rPr>
        <w:t>устанавливается самостоятельно;</w:t>
      </w:r>
    </w:p>
    <w:p w:rsidR="00D60DEF" w:rsidRPr="00D60DEF" w:rsidRDefault="00D60DEF" w:rsidP="00D60DEF">
      <w:pPr>
        <w:ind w:right="-29" w:firstLine="567"/>
        <w:jc w:val="both"/>
        <w:rPr>
          <w:sz w:val="24"/>
          <w:szCs w:val="24"/>
        </w:rPr>
      </w:pPr>
      <w:r w:rsidRPr="00D60DEF">
        <w:rPr>
          <w:sz w:val="24"/>
          <w:szCs w:val="24"/>
        </w:rPr>
        <w:t>6) перераспределения лимитов вследствие уменьшения лимитов</w:t>
      </w:r>
      <w:r w:rsidR="00122074">
        <w:rPr>
          <w:sz w:val="24"/>
          <w:szCs w:val="24"/>
        </w:rPr>
        <w:t xml:space="preserve"> </w:t>
      </w:r>
      <w:r w:rsidRPr="00D60DEF">
        <w:rPr>
          <w:sz w:val="24"/>
          <w:szCs w:val="24"/>
        </w:rPr>
        <w:t>на определенные финансовые организации.</w:t>
      </w:r>
    </w:p>
    <w:p w:rsidR="00E658EA" w:rsidRDefault="00E658EA" w:rsidP="00E658EA">
      <w:pPr>
        <w:ind w:right="-29" w:firstLine="567"/>
        <w:jc w:val="center"/>
        <w:rPr>
          <w:b/>
          <w:sz w:val="24"/>
          <w:szCs w:val="24"/>
        </w:rPr>
      </w:pPr>
    </w:p>
    <w:p w:rsidR="00E658EA" w:rsidRPr="00DF213E" w:rsidRDefault="00E658EA" w:rsidP="00E658EA">
      <w:pPr>
        <w:ind w:right="-29" w:firstLine="567"/>
        <w:jc w:val="center"/>
        <w:rPr>
          <w:b/>
          <w:sz w:val="24"/>
          <w:szCs w:val="24"/>
        </w:rPr>
      </w:pPr>
      <w:r w:rsidRPr="00944107">
        <w:rPr>
          <w:b/>
          <w:sz w:val="24"/>
          <w:szCs w:val="24"/>
        </w:rPr>
        <w:t xml:space="preserve">7.  Порядок </w:t>
      </w:r>
      <w:r w:rsidRPr="00DF213E">
        <w:rPr>
          <w:b/>
          <w:sz w:val="24"/>
          <w:szCs w:val="24"/>
        </w:rPr>
        <w:t xml:space="preserve">определения допустимого размера убытков в связи с исполнением </w:t>
      </w:r>
      <w:r w:rsidRPr="00300AE6">
        <w:rPr>
          <w:b/>
          <w:sz w:val="24"/>
          <w:szCs w:val="24"/>
        </w:rPr>
        <w:t xml:space="preserve">обязательств </w:t>
      </w:r>
      <w:r w:rsidR="00300AE6" w:rsidRPr="00300AE6">
        <w:rPr>
          <w:b/>
          <w:sz w:val="24"/>
          <w:szCs w:val="24"/>
        </w:rPr>
        <w:t>РГО</w:t>
      </w:r>
      <w:r w:rsidR="00300AE6" w:rsidRPr="00DF213E">
        <w:rPr>
          <w:b/>
          <w:sz w:val="24"/>
          <w:szCs w:val="24"/>
        </w:rPr>
        <w:t xml:space="preserve"> </w:t>
      </w:r>
      <w:r w:rsidRPr="00DF213E">
        <w:rPr>
          <w:b/>
          <w:sz w:val="24"/>
          <w:szCs w:val="24"/>
        </w:rPr>
        <w:t xml:space="preserve">по договорам поручительства, обеспечивающим исполнение обязательств субъектов </w:t>
      </w:r>
      <w:proofErr w:type="gramStart"/>
      <w:r w:rsidRPr="00DF213E">
        <w:rPr>
          <w:b/>
          <w:sz w:val="24"/>
          <w:szCs w:val="24"/>
        </w:rPr>
        <w:t>МСП</w:t>
      </w:r>
      <w:r w:rsidR="00C23A06" w:rsidRPr="00DF213E">
        <w:rPr>
          <w:b/>
          <w:sz w:val="24"/>
          <w:szCs w:val="24"/>
        </w:rPr>
        <w:t xml:space="preserve">, </w:t>
      </w:r>
      <w:r w:rsidRPr="00DF213E">
        <w:rPr>
          <w:b/>
          <w:sz w:val="24"/>
          <w:szCs w:val="24"/>
        </w:rPr>
        <w:t xml:space="preserve"> </w:t>
      </w:r>
      <w:r w:rsidR="00C23A06" w:rsidRPr="00DF213E">
        <w:rPr>
          <w:b/>
          <w:sz w:val="24"/>
          <w:szCs w:val="24"/>
        </w:rPr>
        <w:t>а</w:t>
      </w:r>
      <w:proofErr w:type="gramEnd"/>
      <w:r w:rsidR="00C23A06" w:rsidRPr="00DF213E">
        <w:rPr>
          <w:b/>
          <w:sz w:val="24"/>
          <w:szCs w:val="24"/>
        </w:rPr>
        <w:t xml:space="preserve"> также физическ</w:t>
      </w:r>
      <w:r w:rsidR="00442774" w:rsidRPr="00DF213E">
        <w:rPr>
          <w:b/>
          <w:sz w:val="24"/>
          <w:szCs w:val="24"/>
        </w:rPr>
        <w:t>их</w:t>
      </w:r>
      <w:r w:rsidR="00C23A06" w:rsidRPr="00DF213E">
        <w:rPr>
          <w:b/>
          <w:sz w:val="24"/>
          <w:szCs w:val="24"/>
        </w:rPr>
        <w:t xml:space="preserve"> лиц, применяющ</w:t>
      </w:r>
      <w:r w:rsidR="00442774" w:rsidRPr="00DF213E">
        <w:rPr>
          <w:b/>
          <w:sz w:val="24"/>
          <w:szCs w:val="24"/>
        </w:rPr>
        <w:t>их</w:t>
      </w:r>
      <w:r w:rsidR="00C23A06" w:rsidRPr="00DF213E">
        <w:rPr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E658EA" w:rsidRPr="00DF213E" w:rsidRDefault="00E658EA" w:rsidP="00E658EA">
      <w:pPr>
        <w:ind w:right="-29" w:firstLine="567"/>
        <w:jc w:val="both"/>
        <w:rPr>
          <w:sz w:val="24"/>
          <w:szCs w:val="24"/>
        </w:rPr>
      </w:pPr>
    </w:p>
    <w:p w:rsidR="00E658EA" w:rsidRPr="00DF213E" w:rsidRDefault="00E658EA" w:rsidP="00E658EA">
      <w:pPr>
        <w:ind w:right="-29" w:firstLine="567"/>
        <w:jc w:val="both"/>
        <w:rPr>
          <w:sz w:val="24"/>
          <w:szCs w:val="24"/>
        </w:rPr>
      </w:pPr>
      <w:r w:rsidRPr="00DF213E">
        <w:rPr>
          <w:sz w:val="24"/>
          <w:szCs w:val="24"/>
        </w:rPr>
        <w:t xml:space="preserve">7.1. Допустимый размер убытков в связи с исполнением обязательств </w:t>
      </w:r>
      <w:r w:rsidR="00300AE6">
        <w:rPr>
          <w:sz w:val="24"/>
          <w:szCs w:val="24"/>
        </w:rPr>
        <w:t>РГО</w:t>
      </w:r>
      <w:r w:rsidR="00300AE6" w:rsidRPr="00DF213E">
        <w:rPr>
          <w:sz w:val="24"/>
          <w:szCs w:val="24"/>
        </w:rPr>
        <w:t xml:space="preserve"> </w:t>
      </w:r>
      <w:r w:rsidRPr="00DF213E">
        <w:rPr>
          <w:sz w:val="24"/>
          <w:szCs w:val="24"/>
        </w:rPr>
        <w:t>по договорам поручительства, обеспечивающим исполнение обязательств субъектов МСП</w:t>
      </w:r>
      <w:r w:rsidR="00C23A06" w:rsidRPr="00DF213E">
        <w:rPr>
          <w:sz w:val="24"/>
          <w:szCs w:val="24"/>
        </w:rPr>
        <w:t>, а также физическ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лиц, применяющ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Pr="00DF213E">
        <w:rPr>
          <w:sz w:val="24"/>
          <w:szCs w:val="24"/>
        </w:rPr>
        <w:t xml:space="preserve"> (далее - допустимый размер убытков), устанавливается ежеквартально по состоянию на первое число месяца отчетного квартала на основании данных Центрального Банка Российской Федерации, публикуемых на официальном сайте www.cbr.ru в сети "Интернет" в соответствии с пунктом 18 статьи 4 Федерального закона от 10 июля 2002 г. N 86-ФЗ "О Центральном Банке Российской Федерации (Банке России)", на уровне просроченной задолженности в общем объеме </w:t>
      </w:r>
      <w:r w:rsidR="001A6D45" w:rsidRPr="00DF213E">
        <w:rPr>
          <w:sz w:val="24"/>
          <w:szCs w:val="24"/>
        </w:rPr>
        <w:t xml:space="preserve">задолженности по </w:t>
      </w:r>
      <w:r w:rsidRPr="00DF213E">
        <w:rPr>
          <w:sz w:val="24"/>
          <w:szCs w:val="24"/>
        </w:rPr>
        <w:t>кредит</w:t>
      </w:r>
      <w:r w:rsidR="001A6D45" w:rsidRPr="00DF213E">
        <w:rPr>
          <w:sz w:val="24"/>
          <w:szCs w:val="24"/>
        </w:rPr>
        <w:t>ам</w:t>
      </w:r>
      <w:r w:rsidR="00607404" w:rsidRPr="00DF213E">
        <w:rPr>
          <w:sz w:val="24"/>
          <w:szCs w:val="24"/>
        </w:rPr>
        <w:t>, пр</w:t>
      </w:r>
      <w:r w:rsidRPr="00DF213E">
        <w:rPr>
          <w:sz w:val="24"/>
          <w:szCs w:val="24"/>
        </w:rPr>
        <w:t>едоставленны</w:t>
      </w:r>
      <w:r w:rsidR="00607404" w:rsidRPr="00DF213E">
        <w:rPr>
          <w:sz w:val="24"/>
          <w:szCs w:val="24"/>
        </w:rPr>
        <w:t>м субъектам МСП</w:t>
      </w:r>
      <w:r w:rsidR="00C23A06" w:rsidRPr="00DF213E">
        <w:rPr>
          <w:sz w:val="24"/>
          <w:szCs w:val="24"/>
        </w:rPr>
        <w:t>, а также физическ</w:t>
      </w:r>
      <w:r w:rsidR="00442774" w:rsidRPr="00DF213E">
        <w:rPr>
          <w:sz w:val="24"/>
          <w:szCs w:val="24"/>
        </w:rPr>
        <w:t>им</w:t>
      </w:r>
      <w:r w:rsidR="00C23A06" w:rsidRPr="00DF213E">
        <w:rPr>
          <w:sz w:val="24"/>
          <w:szCs w:val="24"/>
        </w:rPr>
        <w:t xml:space="preserve"> лица</w:t>
      </w:r>
      <w:r w:rsidR="00442774" w:rsidRPr="00DF213E">
        <w:rPr>
          <w:sz w:val="24"/>
          <w:szCs w:val="24"/>
        </w:rPr>
        <w:t>м</w:t>
      </w:r>
      <w:r w:rsidR="00C23A06" w:rsidRPr="00DF213E">
        <w:rPr>
          <w:sz w:val="24"/>
          <w:szCs w:val="24"/>
        </w:rPr>
        <w:t>, применяющ</w:t>
      </w:r>
      <w:r w:rsidR="00442774" w:rsidRPr="00DF213E">
        <w:rPr>
          <w:sz w:val="24"/>
          <w:szCs w:val="24"/>
        </w:rPr>
        <w:t>им</w:t>
      </w:r>
      <w:r w:rsidR="00C23A06" w:rsidRPr="00DF213E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="00607404" w:rsidRPr="00DF213E">
        <w:rPr>
          <w:sz w:val="24"/>
          <w:szCs w:val="24"/>
        </w:rPr>
        <w:t xml:space="preserve"> (в целом по Российской Федерации)</w:t>
      </w:r>
      <w:r w:rsidRPr="00DF213E">
        <w:rPr>
          <w:sz w:val="24"/>
          <w:szCs w:val="24"/>
        </w:rPr>
        <w:t>.</w:t>
      </w:r>
    </w:p>
    <w:p w:rsidR="00E658EA" w:rsidRPr="00944107" w:rsidRDefault="00E658EA" w:rsidP="00E658EA">
      <w:pPr>
        <w:ind w:right="-29" w:firstLine="567"/>
        <w:jc w:val="both"/>
        <w:rPr>
          <w:sz w:val="24"/>
          <w:szCs w:val="24"/>
        </w:rPr>
      </w:pPr>
      <w:r w:rsidRPr="00DF213E">
        <w:rPr>
          <w:sz w:val="24"/>
          <w:szCs w:val="24"/>
        </w:rPr>
        <w:t xml:space="preserve">7.2. Фактический размер убытков в связи с исполнением обязательств </w:t>
      </w:r>
      <w:r w:rsidR="00300AE6">
        <w:rPr>
          <w:sz w:val="24"/>
          <w:szCs w:val="24"/>
        </w:rPr>
        <w:t>РГО</w:t>
      </w:r>
      <w:r w:rsidR="00300AE6" w:rsidRPr="00DF213E">
        <w:rPr>
          <w:sz w:val="24"/>
          <w:szCs w:val="24"/>
        </w:rPr>
        <w:t xml:space="preserve"> </w:t>
      </w:r>
      <w:r w:rsidRPr="00DF213E">
        <w:rPr>
          <w:sz w:val="24"/>
          <w:szCs w:val="24"/>
        </w:rPr>
        <w:t>по договорам поручительства, обеспечивающим исполнение обязательств субъектов МСП,</w:t>
      </w:r>
      <w:r w:rsidR="00C23A06" w:rsidRPr="00DF213E">
        <w:rPr>
          <w:sz w:val="24"/>
          <w:szCs w:val="24"/>
        </w:rPr>
        <w:t xml:space="preserve"> а также физическ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лиц, применяющ</w:t>
      </w:r>
      <w:r w:rsidR="00442774" w:rsidRPr="00DF213E">
        <w:rPr>
          <w:sz w:val="24"/>
          <w:szCs w:val="24"/>
        </w:rPr>
        <w:t>их</w:t>
      </w:r>
      <w:r w:rsidR="00C23A06" w:rsidRPr="00DF213E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Pr="00DF213E">
        <w:rPr>
          <w:sz w:val="24"/>
          <w:szCs w:val="24"/>
        </w:rPr>
        <w:t xml:space="preserve"> рассчитывается ежеквартально нарастающим итогом на первое число месяца отчетного квартала, как отношение объема исполненных</w:t>
      </w:r>
      <w:r w:rsidRPr="00944107">
        <w:rPr>
          <w:sz w:val="24"/>
          <w:szCs w:val="24"/>
        </w:rPr>
        <w:t xml:space="preserve"> обязательств </w:t>
      </w:r>
      <w:r w:rsidR="00300AE6">
        <w:rPr>
          <w:sz w:val="24"/>
          <w:szCs w:val="24"/>
        </w:rPr>
        <w:t>РГО</w:t>
      </w:r>
      <w:r w:rsidR="00300AE6" w:rsidRPr="00944107">
        <w:rPr>
          <w:sz w:val="24"/>
          <w:szCs w:val="24"/>
        </w:rPr>
        <w:t xml:space="preserve"> </w:t>
      </w:r>
      <w:r w:rsidRPr="00944107">
        <w:rPr>
          <w:sz w:val="24"/>
          <w:szCs w:val="24"/>
        </w:rPr>
        <w:t>по договорам поручительства</w:t>
      </w:r>
      <w:r w:rsidR="001B7656">
        <w:rPr>
          <w:sz w:val="24"/>
          <w:szCs w:val="24"/>
        </w:rPr>
        <w:t xml:space="preserve"> за вычетом фактически полученных от заемщиков (его поручителей, залогодателей) средств</w:t>
      </w:r>
      <w:r w:rsidRPr="00944107">
        <w:rPr>
          <w:sz w:val="24"/>
          <w:szCs w:val="24"/>
        </w:rPr>
        <w:t xml:space="preserve">, к объему выданных (предоставленных) поручительств за весь период деятельности </w:t>
      </w:r>
      <w:r w:rsidR="00300AE6">
        <w:rPr>
          <w:sz w:val="24"/>
          <w:szCs w:val="24"/>
        </w:rPr>
        <w:t>РГО</w:t>
      </w:r>
      <w:r w:rsidRPr="00944107">
        <w:rPr>
          <w:sz w:val="24"/>
          <w:szCs w:val="24"/>
        </w:rPr>
        <w:t xml:space="preserve">. </w:t>
      </w:r>
    </w:p>
    <w:p w:rsidR="00C326E8" w:rsidRDefault="00C326E8" w:rsidP="00901D8B">
      <w:pPr>
        <w:ind w:right="-29" w:firstLine="567"/>
        <w:jc w:val="both"/>
        <w:rPr>
          <w:sz w:val="24"/>
          <w:szCs w:val="24"/>
        </w:rPr>
      </w:pPr>
    </w:p>
    <w:sectPr w:rsidR="00C326E8" w:rsidSect="00FA46C8">
      <w:headerReference w:type="default" r:id="rId8"/>
      <w:pgSz w:w="11900" w:h="16840"/>
      <w:pgMar w:top="709" w:right="850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65A" w:rsidRDefault="00D9265A" w:rsidP="006174C8">
      <w:r>
        <w:separator/>
      </w:r>
    </w:p>
  </w:endnote>
  <w:endnote w:type="continuationSeparator" w:id="0">
    <w:p w:rsidR="00D9265A" w:rsidRDefault="00D9265A" w:rsidP="0061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65A" w:rsidRDefault="00D9265A" w:rsidP="006174C8">
      <w:r>
        <w:separator/>
      </w:r>
    </w:p>
  </w:footnote>
  <w:footnote w:type="continuationSeparator" w:id="0">
    <w:p w:rsidR="00D9265A" w:rsidRDefault="00D9265A" w:rsidP="0061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0D" w:rsidRPr="00A96419" w:rsidRDefault="00D5029B" w:rsidP="00A96419">
    <w:pPr>
      <w:pStyle w:val="ab"/>
      <w:jc w:val="right"/>
      <w:rPr>
        <w:sz w:val="24"/>
        <w:szCs w:val="24"/>
      </w:rPr>
    </w:pPr>
    <w:r w:rsidRPr="006174C8">
      <w:rPr>
        <w:sz w:val="24"/>
        <w:szCs w:val="24"/>
      </w:rPr>
      <w:fldChar w:fldCharType="begin"/>
    </w:r>
    <w:r w:rsidR="005D1B0D" w:rsidRPr="006174C8">
      <w:rPr>
        <w:sz w:val="24"/>
        <w:szCs w:val="24"/>
      </w:rPr>
      <w:instrText>PAGE   \* MERGEFORMAT</w:instrText>
    </w:r>
    <w:r w:rsidRPr="006174C8">
      <w:rPr>
        <w:sz w:val="24"/>
        <w:szCs w:val="24"/>
      </w:rPr>
      <w:fldChar w:fldCharType="separate"/>
    </w:r>
    <w:r w:rsidR="00E01483">
      <w:rPr>
        <w:noProof/>
        <w:sz w:val="24"/>
        <w:szCs w:val="24"/>
      </w:rPr>
      <w:t>3</w:t>
    </w:r>
    <w:r w:rsidRPr="006174C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1B0"/>
    <w:multiLevelType w:val="multilevel"/>
    <w:tmpl w:val="9E28E0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1144E61"/>
    <w:multiLevelType w:val="hybridMultilevel"/>
    <w:tmpl w:val="64AC8D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700"/>
    <w:multiLevelType w:val="hybridMultilevel"/>
    <w:tmpl w:val="FF700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457"/>
    <w:multiLevelType w:val="hybridMultilevel"/>
    <w:tmpl w:val="4274D16A"/>
    <w:lvl w:ilvl="0" w:tplc="6820FD5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39514B"/>
    <w:multiLevelType w:val="hybridMultilevel"/>
    <w:tmpl w:val="80527126"/>
    <w:lvl w:ilvl="0" w:tplc="5F2804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34B6"/>
    <w:multiLevelType w:val="hybridMultilevel"/>
    <w:tmpl w:val="E7D46D8A"/>
    <w:lvl w:ilvl="0" w:tplc="CF3A80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507AE"/>
    <w:multiLevelType w:val="hybridMultilevel"/>
    <w:tmpl w:val="B2BA1AB8"/>
    <w:lvl w:ilvl="0" w:tplc="BBAAF7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16536FF"/>
    <w:multiLevelType w:val="hybridMultilevel"/>
    <w:tmpl w:val="7DBE59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4C2C"/>
    <w:multiLevelType w:val="multilevel"/>
    <w:tmpl w:val="D848F0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A82700"/>
    <w:multiLevelType w:val="hybridMultilevel"/>
    <w:tmpl w:val="A84027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0B7453"/>
    <w:multiLevelType w:val="hybridMultilevel"/>
    <w:tmpl w:val="E67E0968"/>
    <w:lvl w:ilvl="0" w:tplc="6820FD5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26024D"/>
    <w:multiLevelType w:val="multilevel"/>
    <w:tmpl w:val="E8025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98F3ABE"/>
    <w:multiLevelType w:val="multilevel"/>
    <w:tmpl w:val="A53EE1E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4D323BA2"/>
    <w:multiLevelType w:val="multilevel"/>
    <w:tmpl w:val="121C3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F1820BF"/>
    <w:multiLevelType w:val="hybridMultilevel"/>
    <w:tmpl w:val="9F1A4C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70160"/>
    <w:multiLevelType w:val="hybridMultilevel"/>
    <w:tmpl w:val="8E781B28"/>
    <w:lvl w:ilvl="0" w:tplc="F786942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FA3562"/>
    <w:multiLevelType w:val="multilevel"/>
    <w:tmpl w:val="63C4B7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53C6C74"/>
    <w:multiLevelType w:val="multilevel"/>
    <w:tmpl w:val="F8C8C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95A690B"/>
    <w:multiLevelType w:val="hybridMultilevel"/>
    <w:tmpl w:val="4A226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61633"/>
    <w:multiLevelType w:val="multilevel"/>
    <w:tmpl w:val="9E28E0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0" w15:restartNumberingAfterBreak="0">
    <w:nsid w:val="71ED71E9"/>
    <w:multiLevelType w:val="hybridMultilevel"/>
    <w:tmpl w:val="BCD860F6"/>
    <w:lvl w:ilvl="0" w:tplc="3C700B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81467"/>
    <w:multiLevelType w:val="hybridMultilevel"/>
    <w:tmpl w:val="ECEC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217D0"/>
    <w:multiLevelType w:val="hybridMultilevel"/>
    <w:tmpl w:val="27FC44CC"/>
    <w:lvl w:ilvl="0" w:tplc="FD9E31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22"/>
  </w:num>
  <w:num w:numId="5">
    <w:abstractNumId w:val="15"/>
  </w:num>
  <w:num w:numId="6">
    <w:abstractNumId w:val="20"/>
  </w:num>
  <w:num w:numId="7">
    <w:abstractNumId w:val="5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21"/>
  </w:num>
  <w:num w:numId="15">
    <w:abstractNumId w:val="18"/>
  </w:num>
  <w:num w:numId="16">
    <w:abstractNumId w:val="3"/>
  </w:num>
  <w:num w:numId="17">
    <w:abstractNumId w:val="10"/>
  </w:num>
  <w:num w:numId="18">
    <w:abstractNumId w:val="9"/>
  </w:num>
  <w:num w:numId="19">
    <w:abstractNumId w:val="16"/>
  </w:num>
  <w:num w:numId="20">
    <w:abstractNumId w:val="12"/>
  </w:num>
  <w:num w:numId="21">
    <w:abstractNumId w:val="4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B4A"/>
    <w:rsid w:val="000055CB"/>
    <w:rsid w:val="00006AE1"/>
    <w:rsid w:val="00015D40"/>
    <w:rsid w:val="00022293"/>
    <w:rsid w:val="0002739B"/>
    <w:rsid w:val="00031A10"/>
    <w:rsid w:val="00032FFD"/>
    <w:rsid w:val="0004545D"/>
    <w:rsid w:val="000569A5"/>
    <w:rsid w:val="00064F04"/>
    <w:rsid w:val="00073283"/>
    <w:rsid w:val="00087379"/>
    <w:rsid w:val="00096ECB"/>
    <w:rsid w:val="000A1C81"/>
    <w:rsid w:val="000A24E3"/>
    <w:rsid w:val="000A5C40"/>
    <w:rsid w:val="000B0012"/>
    <w:rsid w:val="000E1448"/>
    <w:rsid w:val="000E30BC"/>
    <w:rsid w:val="000E3B22"/>
    <w:rsid w:val="000E7F7F"/>
    <w:rsid w:val="00100B7E"/>
    <w:rsid w:val="001031DD"/>
    <w:rsid w:val="00116738"/>
    <w:rsid w:val="001174E9"/>
    <w:rsid w:val="00122074"/>
    <w:rsid w:val="00126B3B"/>
    <w:rsid w:val="00131CF0"/>
    <w:rsid w:val="00132365"/>
    <w:rsid w:val="00134597"/>
    <w:rsid w:val="00134ACF"/>
    <w:rsid w:val="001359E7"/>
    <w:rsid w:val="00150869"/>
    <w:rsid w:val="00152B43"/>
    <w:rsid w:val="0016126E"/>
    <w:rsid w:val="00163826"/>
    <w:rsid w:val="001676AE"/>
    <w:rsid w:val="00172FBC"/>
    <w:rsid w:val="001756D7"/>
    <w:rsid w:val="0019717D"/>
    <w:rsid w:val="001A48E7"/>
    <w:rsid w:val="001A6D45"/>
    <w:rsid w:val="001B7656"/>
    <w:rsid w:val="001C3A87"/>
    <w:rsid w:val="001C57FD"/>
    <w:rsid w:val="001D1E35"/>
    <w:rsid w:val="001D2991"/>
    <w:rsid w:val="001D5ED9"/>
    <w:rsid w:val="002004EB"/>
    <w:rsid w:val="00206EE2"/>
    <w:rsid w:val="00210B85"/>
    <w:rsid w:val="002231E1"/>
    <w:rsid w:val="0022539B"/>
    <w:rsid w:val="00236A9F"/>
    <w:rsid w:val="002372AC"/>
    <w:rsid w:val="00247836"/>
    <w:rsid w:val="002538D0"/>
    <w:rsid w:val="00255724"/>
    <w:rsid w:val="00255FFF"/>
    <w:rsid w:val="00260568"/>
    <w:rsid w:val="00261A0A"/>
    <w:rsid w:val="0026273F"/>
    <w:rsid w:val="00266891"/>
    <w:rsid w:val="00266B54"/>
    <w:rsid w:val="0028062C"/>
    <w:rsid w:val="002A1D07"/>
    <w:rsid w:val="002A41F4"/>
    <w:rsid w:val="002B4995"/>
    <w:rsid w:val="002B6692"/>
    <w:rsid w:val="002B7CCF"/>
    <w:rsid w:val="002C0D33"/>
    <w:rsid w:val="002C1807"/>
    <w:rsid w:val="002D0057"/>
    <w:rsid w:val="002D1339"/>
    <w:rsid w:val="002D6495"/>
    <w:rsid w:val="002E1433"/>
    <w:rsid w:val="002E1876"/>
    <w:rsid w:val="00300AE6"/>
    <w:rsid w:val="00305CDE"/>
    <w:rsid w:val="00307EDA"/>
    <w:rsid w:val="0031258D"/>
    <w:rsid w:val="0032251D"/>
    <w:rsid w:val="0033021A"/>
    <w:rsid w:val="0035390D"/>
    <w:rsid w:val="00353BC3"/>
    <w:rsid w:val="00363C18"/>
    <w:rsid w:val="00370BFD"/>
    <w:rsid w:val="00377AFC"/>
    <w:rsid w:val="003860EE"/>
    <w:rsid w:val="00393AB2"/>
    <w:rsid w:val="00395FCF"/>
    <w:rsid w:val="003A20BC"/>
    <w:rsid w:val="003A2FE1"/>
    <w:rsid w:val="003B680C"/>
    <w:rsid w:val="003C611C"/>
    <w:rsid w:val="003E24D8"/>
    <w:rsid w:val="003E2F50"/>
    <w:rsid w:val="003E33CE"/>
    <w:rsid w:val="003E69BA"/>
    <w:rsid w:val="003F3185"/>
    <w:rsid w:val="003F535D"/>
    <w:rsid w:val="003F5A03"/>
    <w:rsid w:val="00401726"/>
    <w:rsid w:val="00402606"/>
    <w:rsid w:val="00403162"/>
    <w:rsid w:val="004114A9"/>
    <w:rsid w:val="00411BCB"/>
    <w:rsid w:val="00417573"/>
    <w:rsid w:val="00422A6E"/>
    <w:rsid w:val="0042741F"/>
    <w:rsid w:val="00427449"/>
    <w:rsid w:val="00430179"/>
    <w:rsid w:val="00437B98"/>
    <w:rsid w:val="00440992"/>
    <w:rsid w:val="00442774"/>
    <w:rsid w:val="00453B8C"/>
    <w:rsid w:val="00463059"/>
    <w:rsid w:val="0047023D"/>
    <w:rsid w:val="00472365"/>
    <w:rsid w:val="0047354C"/>
    <w:rsid w:val="004743B7"/>
    <w:rsid w:val="00480FEA"/>
    <w:rsid w:val="00484C10"/>
    <w:rsid w:val="00486C3E"/>
    <w:rsid w:val="004A0541"/>
    <w:rsid w:val="004A341E"/>
    <w:rsid w:val="004A452E"/>
    <w:rsid w:val="004A5E8D"/>
    <w:rsid w:val="004A7B84"/>
    <w:rsid w:val="004B1F44"/>
    <w:rsid w:val="004B441E"/>
    <w:rsid w:val="004C33A8"/>
    <w:rsid w:val="004C46D0"/>
    <w:rsid w:val="004D4530"/>
    <w:rsid w:val="004E13C2"/>
    <w:rsid w:val="004E69CD"/>
    <w:rsid w:val="004F6A18"/>
    <w:rsid w:val="004F7261"/>
    <w:rsid w:val="004F7506"/>
    <w:rsid w:val="00500305"/>
    <w:rsid w:val="005040C0"/>
    <w:rsid w:val="005111D4"/>
    <w:rsid w:val="00514595"/>
    <w:rsid w:val="00516FB3"/>
    <w:rsid w:val="0052447B"/>
    <w:rsid w:val="0052461D"/>
    <w:rsid w:val="00525749"/>
    <w:rsid w:val="00531A57"/>
    <w:rsid w:val="00540DCB"/>
    <w:rsid w:val="0054375B"/>
    <w:rsid w:val="00554608"/>
    <w:rsid w:val="00557657"/>
    <w:rsid w:val="00562D9D"/>
    <w:rsid w:val="005838E4"/>
    <w:rsid w:val="00587398"/>
    <w:rsid w:val="005944AA"/>
    <w:rsid w:val="005A5FBD"/>
    <w:rsid w:val="005C0925"/>
    <w:rsid w:val="005C3853"/>
    <w:rsid w:val="005C60EB"/>
    <w:rsid w:val="005C799A"/>
    <w:rsid w:val="005D1B0D"/>
    <w:rsid w:val="005D3567"/>
    <w:rsid w:val="005D7B5E"/>
    <w:rsid w:val="005E0B8F"/>
    <w:rsid w:val="005E53BD"/>
    <w:rsid w:val="005F2237"/>
    <w:rsid w:val="00607404"/>
    <w:rsid w:val="006126F1"/>
    <w:rsid w:val="006174C8"/>
    <w:rsid w:val="0061788E"/>
    <w:rsid w:val="00624DF0"/>
    <w:rsid w:val="006351A4"/>
    <w:rsid w:val="00644173"/>
    <w:rsid w:val="006513E7"/>
    <w:rsid w:val="00651C17"/>
    <w:rsid w:val="00656D76"/>
    <w:rsid w:val="00665742"/>
    <w:rsid w:val="006671DA"/>
    <w:rsid w:val="00670595"/>
    <w:rsid w:val="006714C9"/>
    <w:rsid w:val="00671EBF"/>
    <w:rsid w:val="00683ED1"/>
    <w:rsid w:val="00686675"/>
    <w:rsid w:val="00686C1D"/>
    <w:rsid w:val="00690FA2"/>
    <w:rsid w:val="006911DD"/>
    <w:rsid w:val="006A6072"/>
    <w:rsid w:val="006B135A"/>
    <w:rsid w:val="006B5719"/>
    <w:rsid w:val="006C28C1"/>
    <w:rsid w:val="006C7D32"/>
    <w:rsid w:val="006D32C7"/>
    <w:rsid w:val="006E24B1"/>
    <w:rsid w:val="006E4EDD"/>
    <w:rsid w:val="006F2728"/>
    <w:rsid w:val="006F3FAE"/>
    <w:rsid w:val="006F4057"/>
    <w:rsid w:val="00701340"/>
    <w:rsid w:val="007050AF"/>
    <w:rsid w:val="0071603C"/>
    <w:rsid w:val="0072041C"/>
    <w:rsid w:val="007227EB"/>
    <w:rsid w:val="00727B50"/>
    <w:rsid w:val="00736452"/>
    <w:rsid w:val="00737CA7"/>
    <w:rsid w:val="00744F96"/>
    <w:rsid w:val="0075368D"/>
    <w:rsid w:val="007757BF"/>
    <w:rsid w:val="00776EF9"/>
    <w:rsid w:val="00780DA1"/>
    <w:rsid w:val="0079575A"/>
    <w:rsid w:val="007A52DE"/>
    <w:rsid w:val="007A6E4E"/>
    <w:rsid w:val="007B34DD"/>
    <w:rsid w:val="007B3C1F"/>
    <w:rsid w:val="007C04E6"/>
    <w:rsid w:val="007D0BB8"/>
    <w:rsid w:val="007D36AB"/>
    <w:rsid w:val="007D7831"/>
    <w:rsid w:val="007E5405"/>
    <w:rsid w:val="0081718A"/>
    <w:rsid w:val="008275FF"/>
    <w:rsid w:val="00835D7A"/>
    <w:rsid w:val="008412AB"/>
    <w:rsid w:val="008437B1"/>
    <w:rsid w:val="00843F0B"/>
    <w:rsid w:val="008518F6"/>
    <w:rsid w:val="008711D3"/>
    <w:rsid w:val="008809B7"/>
    <w:rsid w:val="00891B11"/>
    <w:rsid w:val="008B04E3"/>
    <w:rsid w:val="008B2773"/>
    <w:rsid w:val="008B2BCF"/>
    <w:rsid w:val="008B3DA5"/>
    <w:rsid w:val="008B68E4"/>
    <w:rsid w:val="008C3661"/>
    <w:rsid w:val="008D6006"/>
    <w:rsid w:val="008D66C6"/>
    <w:rsid w:val="008D6BBE"/>
    <w:rsid w:val="008D7FB7"/>
    <w:rsid w:val="008E66BF"/>
    <w:rsid w:val="008F03BA"/>
    <w:rsid w:val="008F2AD8"/>
    <w:rsid w:val="008F7D81"/>
    <w:rsid w:val="00901D8B"/>
    <w:rsid w:val="00911377"/>
    <w:rsid w:val="00917577"/>
    <w:rsid w:val="009239EB"/>
    <w:rsid w:val="009244A9"/>
    <w:rsid w:val="009266D0"/>
    <w:rsid w:val="00927630"/>
    <w:rsid w:val="009304FF"/>
    <w:rsid w:val="00945094"/>
    <w:rsid w:val="009450F7"/>
    <w:rsid w:val="0095316A"/>
    <w:rsid w:val="00955AD5"/>
    <w:rsid w:val="00955F1B"/>
    <w:rsid w:val="009603B5"/>
    <w:rsid w:val="00960CC6"/>
    <w:rsid w:val="00961038"/>
    <w:rsid w:val="00967047"/>
    <w:rsid w:val="00971B4F"/>
    <w:rsid w:val="0097245B"/>
    <w:rsid w:val="00982EC0"/>
    <w:rsid w:val="00990A3C"/>
    <w:rsid w:val="009A17FA"/>
    <w:rsid w:val="009A1C02"/>
    <w:rsid w:val="009A1D26"/>
    <w:rsid w:val="009A443B"/>
    <w:rsid w:val="009A7546"/>
    <w:rsid w:val="009A7960"/>
    <w:rsid w:val="009B577D"/>
    <w:rsid w:val="009B710A"/>
    <w:rsid w:val="009C4A27"/>
    <w:rsid w:val="009F29D5"/>
    <w:rsid w:val="009F5C9D"/>
    <w:rsid w:val="00A06D4E"/>
    <w:rsid w:val="00A17005"/>
    <w:rsid w:val="00A22A76"/>
    <w:rsid w:val="00A23C99"/>
    <w:rsid w:val="00A2773A"/>
    <w:rsid w:val="00A31E5B"/>
    <w:rsid w:val="00A36D17"/>
    <w:rsid w:val="00A40918"/>
    <w:rsid w:val="00A508A4"/>
    <w:rsid w:val="00A55E19"/>
    <w:rsid w:val="00A56FB4"/>
    <w:rsid w:val="00A718CD"/>
    <w:rsid w:val="00A732D0"/>
    <w:rsid w:val="00A96419"/>
    <w:rsid w:val="00A97F73"/>
    <w:rsid w:val="00AA155A"/>
    <w:rsid w:val="00AA613C"/>
    <w:rsid w:val="00AB3916"/>
    <w:rsid w:val="00AB7701"/>
    <w:rsid w:val="00AD63AC"/>
    <w:rsid w:val="00AE3B41"/>
    <w:rsid w:val="00B00AB9"/>
    <w:rsid w:val="00B019AD"/>
    <w:rsid w:val="00B01D59"/>
    <w:rsid w:val="00B2142D"/>
    <w:rsid w:val="00B224B2"/>
    <w:rsid w:val="00B2518D"/>
    <w:rsid w:val="00B27E60"/>
    <w:rsid w:val="00B31414"/>
    <w:rsid w:val="00B41EF7"/>
    <w:rsid w:val="00B429FD"/>
    <w:rsid w:val="00B4445D"/>
    <w:rsid w:val="00B47000"/>
    <w:rsid w:val="00B553B5"/>
    <w:rsid w:val="00B67FBB"/>
    <w:rsid w:val="00B7165E"/>
    <w:rsid w:val="00B87E43"/>
    <w:rsid w:val="00B9720C"/>
    <w:rsid w:val="00B973B6"/>
    <w:rsid w:val="00BA7DF4"/>
    <w:rsid w:val="00BB67D4"/>
    <w:rsid w:val="00BB70FA"/>
    <w:rsid w:val="00BC746C"/>
    <w:rsid w:val="00BD1E4B"/>
    <w:rsid w:val="00BD25DF"/>
    <w:rsid w:val="00BD61B1"/>
    <w:rsid w:val="00BF1D50"/>
    <w:rsid w:val="00BF2B71"/>
    <w:rsid w:val="00BF6D84"/>
    <w:rsid w:val="00C0243C"/>
    <w:rsid w:val="00C05B50"/>
    <w:rsid w:val="00C06328"/>
    <w:rsid w:val="00C12D34"/>
    <w:rsid w:val="00C14E54"/>
    <w:rsid w:val="00C23A06"/>
    <w:rsid w:val="00C25225"/>
    <w:rsid w:val="00C321B0"/>
    <w:rsid w:val="00C326E8"/>
    <w:rsid w:val="00C32C1E"/>
    <w:rsid w:val="00C345D6"/>
    <w:rsid w:val="00C45C0F"/>
    <w:rsid w:val="00C466D7"/>
    <w:rsid w:val="00C643DF"/>
    <w:rsid w:val="00C665AC"/>
    <w:rsid w:val="00C7255D"/>
    <w:rsid w:val="00C937A4"/>
    <w:rsid w:val="00CB0E78"/>
    <w:rsid w:val="00CB7ACD"/>
    <w:rsid w:val="00CC1118"/>
    <w:rsid w:val="00CC1B0C"/>
    <w:rsid w:val="00CD4525"/>
    <w:rsid w:val="00CD4968"/>
    <w:rsid w:val="00CE174C"/>
    <w:rsid w:val="00CF0B20"/>
    <w:rsid w:val="00CF42CA"/>
    <w:rsid w:val="00D052E5"/>
    <w:rsid w:val="00D12D1F"/>
    <w:rsid w:val="00D14B16"/>
    <w:rsid w:val="00D15897"/>
    <w:rsid w:val="00D2594D"/>
    <w:rsid w:val="00D27F9C"/>
    <w:rsid w:val="00D34842"/>
    <w:rsid w:val="00D350CE"/>
    <w:rsid w:val="00D407C1"/>
    <w:rsid w:val="00D41DA3"/>
    <w:rsid w:val="00D4242C"/>
    <w:rsid w:val="00D437C3"/>
    <w:rsid w:val="00D47A90"/>
    <w:rsid w:val="00D5029B"/>
    <w:rsid w:val="00D515D0"/>
    <w:rsid w:val="00D51C6F"/>
    <w:rsid w:val="00D576E7"/>
    <w:rsid w:val="00D60145"/>
    <w:rsid w:val="00D60DEF"/>
    <w:rsid w:val="00D77B56"/>
    <w:rsid w:val="00D855A1"/>
    <w:rsid w:val="00D87792"/>
    <w:rsid w:val="00D9265A"/>
    <w:rsid w:val="00DB0B63"/>
    <w:rsid w:val="00DE4829"/>
    <w:rsid w:val="00DE73EC"/>
    <w:rsid w:val="00DF213E"/>
    <w:rsid w:val="00DF4F3A"/>
    <w:rsid w:val="00DF5737"/>
    <w:rsid w:val="00E01483"/>
    <w:rsid w:val="00E0291E"/>
    <w:rsid w:val="00E031CB"/>
    <w:rsid w:val="00E05C3B"/>
    <w:rsid w:val="00E1007B"/>
    <w:rsid w:val="00E21E8F"/>
    <w:rsid w:val="00E27001"/>
    <w:rsid w:val="00E306CF"/>
    <w:rsid w:val="00E35298"/>
    <w:rsid w:val="00E358BF"/>
    <w:rsid w:val="00E3597A"/>
    <w:rsid w:val="00E4574E"/>
    <w:rsid w:val="00E46F22"/>
    <w:rsid w:val="00E54565"/>
    <w:rsid w:val="00E644A8"/>
    <w:rsid w:val="00E658EA"/>
    <w:rsid w:val="00E7068E"/>
    <w:rsid w:val="00E845DE"/>
    <w:rsid w:val="00E85C37"/>
    <w:rsid w:val="00E87A54"/>
    <w:rsid w:val="00E9792C"/>
    <w:rsid w:val="00E97A06"/>
    <w:rsid w:val="00EA15DD"/>
    <w:rsid w:val="00EA4935"/>
    <w:rsid w:val="00EA57BB"/>
    <w:rsid w:val="00EC50E5"/>
    <w:rsid w:val="00ED1F72"/>
    <w:rsid w:val="00ED3328"/>
    <w:rsid w:val="00ED5399"/>
    <w:rsid w:val="00EE073C"/>
    <w:rsid w:val="00EE23C5"/>
    <w:rsid w:val="00EE398D"/>
    <w:rsid w:val="00EF2DE5"/>
    <w:rsid w:val="00EF58D3"/>
    <w:rsid w:val="00F057EE"/>
    <w:rsid w:val="00F160C9"/>
    <w:rsid w:val="00F17B4A"/>
    <w:rsid w:val="00F219CB"/>
    <w:rsid w:val="00F25A29"/>
    <w:rsid w:val="00F26129"/>
    <w:rsid w:val="00F350DD"/>
    <w:rsid w:val="00F36670"/>
    <w:rsid w:val="00F43168"/>
    <w:rsid w:val="00F52CA5"/>
    <w:rsid w:val="00F54943"/>
    <w:rsid w:val="00F601CE"/>
    <w:rsid w:val="00F76367"/>
    <w:rsid w:val="00F8064E"/>
    <w:rsid w:val="00F87D35"/>
    <w:rsid w:val="00FA46C8"/>
    <w:rsid w:val="00FB3FFB"/>
    <w:rsid w:val="00FB612D"/>
    <w:rsid w:val="00FD1A04"/>
    <w:rsid w:val="00FE1604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41314"/>
  <w15:docId w15:val="{2A1E0750-4F86-4C66-A670-8A11B7D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B4A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D1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17B4A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17B4A"/>
    <w:pPr>
      <w:widowControl/>
      <w:shd w:val="clear" w:color="auto" w:fill="FFFFFF"/>
      <w:suppressAutoHyphens w:val="0"/>
      <w:autoSpaceDE/>
      <w:spacing w:after="120" w:line="240" w:lineRule="atLeast"/>
    </w:pPr>
    <w:rPr>
      <w:rFonts w:ascii="Calibri" w:eastAsia="Calibri" w:hAnsi="Calibri"/>
      <w:sz w:val="25"/>
      <w:lang w:eastAsia="ru-RU"/>
    </w:rPr>
  </w:style>
  <w:style w:type="paragraph" w:customStyle="1" w:styleId="ConsPlusNonformat">
    <w:name w:val="ConsPlusNonformat"/>
    <w:uiPriority w:val="99"/>
    <w:rsid w:val="00F17B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a5"/>
    <w:uiPriority w:val="99"/>
    <w:rsid w:val="00F057EE"/>
    <w:pPr>
      <w:widowControl/>
      <w:suppressAutoHyphens w:val="0"/>
      <w:autoSpaceDE/>
      <w:ind w:firstLine="709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057E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F057EE"/>
    <w:pPr>
      <w:widowControl/>
      <w:suppressAutoHyphens w:val="0"/>
      <w:autoSpaceDE/>
      <w:spacing w:after="225"/>
    </w:pPr>
    <w:rPr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0E3B22"/>
    <w:pPr>
      <w:widowControl/>
      <w:suppressAutoHyphens w:val="0"/>
      <w:autoSpaceDE/>
    </w:pPr>
    <w:rPr>
      <w:rFonts w:ascii="Courier New" w:hAnsi="Courier New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0E3B22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A17F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A17FA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6174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74C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rsid w:val="006174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174C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3E2F50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E2F50"/>
    <w:pPr>
      <w:shd w:val="clear" w:color="auto" w:fill="FFFFFF"/>
      <w:suppressAutoHyphens w:val="0"/>
      <w:autoSpaceDE/>
      <w:spacing w:line="350" w:lineRule="exact"/>
      <w:jc w:val="center"/>
    </w:pPr>
    <w:rPr>
      <w:rFonts w:eastAsia="Calibri"/>
      <w:b/>
      <w:bCs/>
      <w:noProof/>
      <w:sz w:val="27"/>
      <w:szCs w:val="27"/>
      <w:lang w:eastAsia="ru-RU"/>
    </w:rPr>
  </w:style>
  <w:style w:type="paragraph" w:styleId="af">
    <w:name w:val="List Paragraph"/>
    <w:aliases w:val="Абзац списка для документа"/>
    <w:basedOn w:val="a"/>
    <w:link w:val="af0"/>
    <w:qFormat/>
    <w:rsid w:val="00307EDA"/>
    <w:pPr>
      <w:widowControl/>
      <w:suppressAutoHyphens w:val="0"/>
      <w:autoSpaceDE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7A4"/>
  </w:style>
  <w:style w:type="character" w:styleId="af1">
    <w:name w:val="Hyperlink"/>
    <w:basedOn w:val="a0"/>
    <w:uiPriority w:val="99"/>
    <w:semiHidden/>
    <w:unhideWhenUsed/>
    <w:rsid w:val="00C937A4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B553B5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C25225"/>
  </w:style>
  <w:style w:type="character" w:customStyle="1" w:styleId="af4">
    <w:name w:val="Текст сноски Знак"/>
    <w:basedOn w:val="a0"/>
    <w:link w:val="af3"/>
    <w:uiPriority w:val="99"/>
    <w:semiHidden/>
    <w:rsid w:val="00C25225"/>
    <w:rPr>
      <w:rFonts w:ascii="Times New Roman" w:eastAsia="Times New Roman" w:hAnsi="Times New Roman"/>
      <w:sz w:val="20"/>
      <w:szCs w:val="20"/>
      <w:lang w:eastAsia="ar-SA"/>
    </w:rPr>
  </w:style>
  <w:style w:type="character" w:styleId="af5">
    <w:name w:val="footnote reference"/>
    <w:basedOn w:val="a0"/>
    <w:uiPriority w:val="99"/>
    <w:semiHidden/>
    <w:unhideWhenUsed/>
    <w:rsid w:val="00C25225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5D1B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ConsPlusNormal">
    <w:name w:val="ConsPlusNormal"/>
    <w:rsid w:val="003A2FE1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f0">
    <w:name w:val="Абзац списка Знак"/>
    <w:aliases w:val="Абзац списка для документа Знак"/>
    <w:link w:val="af"/>
    <w:rsid w:val="003A2FE1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6FFFE-970E-41CE-A792-443F9FBC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Fppoo21</cp:lastModifiedBy>
  <cp:revision>156</cp:revision>
  <cp:lastPrinted>2018-09-25T08:29:00Z</cp:lastPrinted>
  <dcterms:created xsi:type="dcterms:W3CDTF">2016-01-21T07:46:00Z</dcterms:created>
  <dcterms:modified xsi:type="dcterms:W3CDTF">2024-12-28T09:19:00Z</dcterms:modified>
</cp:coreProperties>
</file>